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8E6EC"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3CEFE3FF" w14:textId="77777777" w:rsidR="006E4B3A" w:rsidRPr="00A03CB5" w:rsidRDefault="00000000">
      <w:pPr>
        <w:spacing w:before="200"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Exploring the associations between food addiction and dietary patterns </w:t>
      </w:r>
    </w:p>
    <w:p w14:paraId="5A0A75A4" w14:textId="77777777" w:rsidR="006E4B3A" w:rsidRPr="00A03CB5" w:rsidRDefault="006E4B3A">
      <w:pPr>
        <w:spacing w:before="200" w:line="240" w:lineRule="auto"/>
        <w:jc w:val="center"/>
        <w:rPr>
          <w:rFonts w:ascii="Times New Roman" w:eastAsia="Times New Roman" w:hAnsi="Times New Roman" w:cs="Times New Roman"/>
          <w:sz w:val="24"/>
          <w:szCs w:val="24"/>
        </w:rPr>
      </w:pPr>
    </w:p>
    <w:p w14:paraId="5E5003C5" w14:textId="77777777" w:rsidR="006E4B3A" w:rsidRPr="00A03CB5" w:rsidRDefault="00000000">
      <w:pPr>
        <w:spacing w:before="200"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Zoya Khalil, B.A.</w:t>
      </w:r>
      <w:r w:rsidRPr="00A03CB5">
        <w:rPr>
          <w:rFonts w:ascii="Times New Roman" w:eastAsia="Times New Roman" w:hAnsi="Times New Roman" w:cs="Times New Roman"/>
          <w:sz w:val="24"/>
          <w:szCs w:val="24"/>
          <w:vertAlign w:val="superscript"/>
        </w:rPr>
        <w:t>1</w:t>
      </w:r>
      <w:r w:rsidRPr="00A03CB5">
        <w:rPr>
          <w:rFonts w:ascii="Times New Roman" w:eastAsia="Times New Roman" w:hAnsi="Times New Roman" w:cs="Times New Roman"/>
          <w:sz w:val="24"/>
          <w:szCs w:val="24"/>
        </w:rPr>
        <w:t>, Shirley Li, B.A.</w:t>
      </w:r>
      <w:r w:rsidRPr="00A03CB5">
        <w:rPr>
          <w:rFonts w:ascii="Times New Roman" w:eastAsia="Times New Roman" w:hAnsi="Times New Roman" w:cs="Times New Roman"/>
          <w:sz w:val="24"/>
          <w:szCs w:val="24"/>
          <w:vertAlign w:val="superscript"/>
        </w:rPr>
        <w:t>1</w:t>
      </w:r>
      <w:r w:rsidRPr="00A03CB5">
        <w:rPr>
          <w:rFonts w:ascii="Times New Roman" w:eastAsia="Times New Roman" w:hAnsi="Times New Roman" w:cs="Times New Roman"/>
          <w:sz w:val="24"/>
          <w:szCs w:val="24"/>
        </w:rPr>
        <w:t>, Kathryn E. Smith, Ph.D.</w:t>
      </w:r>
      <w:r w:rsidRPr="00A03CB5">
        <w:rPr>
          <w:rFonts w:ascii="Times New Roman" w:eastAsia="Times New Roman" w:hAnsi="Times New Roman" w:cs="Times New Roman"/>
          <w:sz w:val="24"/>
          <w:szCs w:val="24"/>
          <w:vertAlign w:val="superscript"/>
        </w:rPr>
        <w:t>2</w:t>
      </w:r>
      <w:r w:rsidRPr="00A03CB5">
        <w:rPr>
          <w:rFonts w:ascii="Times New Roman" w:eastAsia="Times New Roman" w:hAnsi="Times New Roman" w:cs="Times New Roman"/>
          <w:sz w:val="24"/>
          <w:szCs w:val="24"/>
        </w:rPr>
        <w:t>, &amp; Tyler B. Mason, Ph.D.</w:t>
      </w:r>
      <w:r w:rsidRPr="00A03CB5">
        <w:rPr>
          <w:rFonts w:ascii="Times New Roman" w:eastAsia="Times New Roman" w:hAnsi="Times New Roman" w:cs="Times New Roman"/>
          <w:sz w:val="24"/>
          <w:szCs w:val="24"/>
          <w:vertAlign w:val="superscript"/>
        </w:rPr>
        <w:t>3</w:t>
      </w:r>
      <w:r w:rsidRPr="00A03CB5">
        <w:rPr>
          <w:rFonts w:ascii="Times New Roman" w:eastAsia="Times New Roman" w:hAnsi="Times New Roman" w:cs="Times New Roman"/>
          <w:sz w:val="24"/>
          <w:szCs w:val="24"/>
        </w:rPr>
        <w:t xml:space="preserve"> </w:t>
      </w:r>
    </w:p>
    <w:p w14:paraId="3EAD8BAF" w14:textId="77777777" w:rsidR="006E4B3A" w:rsidRPr="00A03CB5" w:rsidRDefault="006E4B3A">
      <w:pPr>
        <w:spacing w:before="200" w:line="240" w:lineRule="auto"/>
        <w:jc w:val="center"/>
        <w:rPr>
          <w:rFonts w:ascii="Times New Roman" w:eastAsia="Times New Roman" w:hAnsi="Times New Roman" w:cs="Times New Roman"/>
          <w:sz w:val="24"/>
          <w:szCs w:val="24"/>
        </w:rPr>
      </w:pPr>
    </w:p>
    <w:p w14:paraId="22D4A0BA" w14:textId="77777777" w:rsidR="006E4B3A" w:rsidRPr="00A03CB5" w:rsidRDefault="006E4B3A">
      <w:pPr>
        <w:spacing w:before="200" w:line="240" w:lineRule="auto"/>
        <w:jc w:val="center"/>
        <w:rPr>
          <w:rFonts w:ascii="Times New Roman" w:eastAsia="Times New Roman" w:hAnsi="Times New Roman" w:cs="Times New Roman"/>
          <w:sz w:val="24"/>
          <w:szCs w:val="24"/>
        </w:rPr>
      </w:pPr>
    </w:p>
    <w:p w14:paraId="5226C57A" w14:textId="77777777" w:rsidR="006E4B3A" w:rsidRPr="00A03CB5" w:rsidRDefault="006E4B3A">
      <w:pPr>
        <w:shd w:val="clear" w:color="auto" w:fill="FFFFFF"/>
        <w:spacing w:after="160" w:line="240" w:lineRule="auto"/>
        <w:rPr>
          <w:rFonts w:ascii="Times New Roman" w:eastAsia="Times New Roman" w:hAnsi="Times New Roman" w:cs="Times New Roman"/>
          <w:sz w:val="24"/>
          <w:szCs w:val="24"/>
        </w:rPr>
      </w:pPr>
    </w:p>
    <w:p w14:paraId="3472C538" w14:textId="77777777" w:rsidR="006E4B3A" w:rsidRPr="00A03CB5" w:rsidRDefault="006E4B3A">
      <w:pPr>
        <w:shd w:val="clear" w:color="auto" w:fill="FFFFFF"/>
        <w:spacing w:after="160" w:line="240" w:lineRule="auto"/>
        <w:rPr>
          <w:rFonts w:ascii="Times New Roman" w:eastAsia="Times New Roman" w:hAnsi="Times New Roman" w:cs="Times New Roman"/>
          <w:sz w:val="24"/>
          <w:szCs w:val="24"/>
        </w:rPr>
      </w:pPr>
    </w:p>
    <w:p w14:paraId="3204BE66" w14:textId="77777777" w:rsidR="006E4B3A" w:rsidRPr="00A03CB5" w:rsidRDefault="00000000">
      <w:pPr>
        <w:shd w:val="clear" w:color="auto" w:fill="FFFFFF"/>
        <w:spacing w:after="160"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vertAlign w:val="superscript"/>
        </w:rPr>
        <w:t xml:space="preserve">1 </w:t>
      </w:r>
      <w:r w:rsidRPr="00A03CB5">
        <w:rPr>
          <w:rFonts w:ascii="Times New Roman" w:eastAsia="Times New Roman" w:hAnsi="Times New Roman" w:cs="Times New Roman"/>
          <w:sz w:val="24"/>
          <w:szCs w:val="24"/>
        </w:rPr>
        <w:t xml:space="preserve">Keck School of Medicine of University of Southern California, Los Angeles, CA, USA </w:t>
      </w:r>
    </w:p>
    <w:p w14:paraId="7B092CB6" w14:textId="77777777" w:rsidR="006E4B3A" w:rsidRPr="00A03CB5" w:rsidRDefault="00000000">
      <w:pPr>
        <w:shd w:val="clear" w:color="auto" w:fill="FFFFFF"/>
        <w:spacing w:after="160"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vertAlign w:val="superscript"/>
        </w:rPr>
        <w:t>2</w:t>
      </w:r>
      <w:r w:rsidRPr="00A03CB5">
        <w:rPr>
          <w:rFonts w:ascii="Times New Roman" w:eastAsia="Times New Roman" w:hAnsi="Times New Roman" w:cs="Times New Roman"/>
          <w:sz w:val="24"/>
          <w:szCs w:val="24"/>
        </w:rPr>
        <w:t xml:space="preserve"> Department of Psychiatry and Behavioral Sciences, University of Southern California, Los Angeles, CA, USA</w:t>
      </w:r>
    </w:p>
    <w:p w14:paraId="2A054445" w14:textId="77777777" w:rsidR="006E4B3A" w:rsidRPr="00A03CB5" w:rsidRDefault="00000000">
      <w:pPr>
        <w:shd w:val="clear" w:color="auto" w:fill="FFFFFF"/>
        <w:spacing w:after="160"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vertAlign w:val="superscript"/>
        </w:rPr>
        <w:t>3</w:t>
      </w:r>
      <w:r w:rsidRPr="00A03CB5">
        <w:rPr>
          <w:rFonts w:ascii="Times New Roman" w:eastAsia="Times New Roman" w:hAnsi="Times New Roman" w:cs="Times New Roman"/>
          <w:sz w:val="24"/>
          <w:szCs w:val="24"/>
        </w:rPr>
        <w:t xml:space="preserve"> Department of Population and Public Health Sciences, University of Southern California, Los Angeles, CA, USA</w:t>
      </w:r>
    </w:p>
    <w:p w14:paraId="2718D22D"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7E43CA48"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09B4265E" w14:textId="6C5844B0" w:rsidR="006E4B3A" w:rsidRPr="00A03CB5" w:rsidRDefault="00000000">
      <w:pPr>
        <w:spacing w:before="200"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Correspondence to: Zoya Khalil,</w:t>
      </w:r>
      <w:r w:rsidR="0024529B">
        <w:rPr>
          <w:rFonts w:ascii="Times New Roman" w:eastAsia="Times New Roman" w:hAnsi="Times New Roman" w:cs="Times New Roman"/>
          <w:sz w:val="24"/>
          <w:szCs w:val="24"/>
        </w:rPr>
        <w:t xml:space="preserve"> </w:t>
      </w:r>
      <w:hyperlink r:id="rId7" w:history="1">
        <w:r w:rsidR="0024529B" w:rsidRPr="00CC7BA0">
          <w:rPr>
            <w:rStyle w:val="Hyperlink"/>
            <w:rFonts w:ascii="Times New Roman" w:eastAsia="Times New Roman" w:hAnsi="Times New Roman" w:cs="Times New Roman"/>
            <w:sz w:val="24"/>
            <w:szCs w:val="24"/>
          </w:rPr>
          <w:t>zkhalil2342@gmail.com</w:t>
        </w:r>
      </w:hyperlink>
      <w:r w:rsidR="0024529B">
        <w:rPr>
          <w:rFonts w:ascii="Times New Roman" w:eastAsia="Times New Roman" w:hAnsi="Times New Roman" w:cs="Times New Roman"/>
          <w:sz w:val="24"/>
          <w:szCs w:val="24"/>
        </w:rPr>
        <w:t xml:space="preserve"> </w:t>
      </w:r>
      <w:r w:rsidRPr="00A03CB5">
        <w:rPr>
          <w:rFonts w:ascii="Times New Roman" w:eastAsia="Times New Roman" w:hAnsi="Times New Roman" w:cs="Times New Roman"/>
          <w:sz w:val="24"/>
          <w:szCs w:val="24"/>
        </w:rPr>
        <w:br/>
        <w:t>Address: 2250 Alcazar St. #2200, Los Angeles, CA 90033</w:t>
      </w:r>
    </w:p>
    <w:p w14:paraId="5F30A183"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67B115B9"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0F9B5312" w14:textId="77777777" w:rsidR="006E4B3A" w:rsidRPr="00A03CB5" w:rsidRDefault="00000000">
      <w:pPr>
        <w:spacing w:before="200"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Running title:  FOOD ADDICTION AND DIETARY PATTERNS</w:t>
      </w:r>
    </w:p>
    <w:p w14:paraId="54CE8C7D" w14:textId="13A14DDA" w:rsidR="006E4B3A" w:rsidRPr="00A03CB5" w:rsidRDefault="00000000">
      <w:pPr>
        <w:spacing w:before="200" w:line="240" w:lineRule="auto"/>
        <w:rPr>
          <w:rFonts w:ascii="Times New Roman" w:eastAsia="Times New Roman" w:hAnsi="Times New Roman" w:cs="Times New Roman"/>
          <w:b/>
          <w:sz w:val="24"/>
          <w:szCs w:val="24"/>
        </w:rPr>
      </w:pPr>
      <w:r w:rsidRPr="00A03CB5">
        <w:rPr>
          <w:rFonts w:ascii="Times New Roman" w:eastAsia="Times New Roman" w:hAnsi="Times New Roman" w:cs="Times New Roman"/>
          <w:sz w:val="24"/>
          <w:szCs w:val="24"/>
        </w:rPr>
        <w:t xml:space="preserve">Word count: </w:t>
      </w:r>
      <w:r w:rsidR="000261B7" w:rsidRPr="00A03CB5">
        <w:rPr>
          <w:rFonts w:ascii="Times New Roman" w:eastAsia="Times New Roman" w:hAnsi="Times New Roman" w:cs="Times New Roman"/>
          <w:sz w:val="24"/>
          <w:szCs w:val="24"/>
        </w:rPr>
        <w:t>4,642</w:t>
      </w:r>
    </w:p>
    <w:p w14:paraId="12F08509"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302C53C8"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2F96EB43"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4BCC2761"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720F9D5C"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5C14CC8E" w14:textId="77777777" w:rsidR="006E4B3A" w:rsidRPr="00A03CB5" w:rsidRDefault="006E4B3A">
      <w:pPr>
        <w:spacing w:before="200" w:line="240" w:lineRule="auto"/>
        <w:jc w:val="center"/>
        <w:rPr>
          <w:rFonts w:ascii="Times New Roman" w:eastAsia="Times New Roman" w:hAnsi="Times New Roman" w:cs="Times New Roman"/>
          <w:b/>
          <w:sz w:val="24"/>
          <w:szCs w:val="24"/>
        </w:rPr>
      </w:pPr>
    </w:p>
    <w:p w14:paraId="24F84046" w14:textId="77777777" w:rsidR="006E4B3A" w:rsidRPr="00A03CB5" w:rsidRDefault="006E4B3A">
      <w:pPr>
        <w:spacing w:before="200" w:line="240" w:lineRule="auto"/>
        <w:rPr>
          <w:rFonts w:ascii="Times New Roman" w:eastAsia="Times New Roman" w:hAnsi="Times New Roman" w:cs="Times New Roman"/>
          <w:b/>
          <w:sz w:val="24"/>
          <w:szCs w:val="24"/>
        </w:rPr>
      </w:pPr>
    </w:p>
    <w:p w14:paraId="62C68B5A" w14:textId="77777777" w:rsidR="006E4B3A" w:rsidRPr="00A03CB5" w:rsidRDefault="006E4B3A">
      <w:pPr>
        <w:spacing w:before="200" w:line="240" w:lineRule="auto"/>
        <w:rPr>
          <w:rFonts w:ascii="Times New Roman" w:eastAsia="Times New Roman" w:hAnsi="Times New Roman" w:cs="Times New Roman"/>
          <w:b/>
          <w:sz w:val="24"/>
          <w:szCs w:val="24"/>
        </w:rPr>
      </w:pPr>
    </w:p>
    <w:p w14:paraId="75DCF84C" w14:textId="77777777" w:rsidR="006E4B3A" w:rsidRPr="00A03CB5" w:rsidRDefault="00000000">
      <w:pPr>
        <w:spacing w:before="200" w:line="240" w:lineRule="auto"/>
        <w:jc w:val="center"/>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lastRenderedPageBreak/>
        <w:t>Abstract</w:t>
      </w:r>
      <w:r w:rsidRPr="00A03CB5">
        <w:rPr>
          <w:rFonts w:ascii="Times New Roman" w:eastAsia="Times New Roman" w:hAnsi="Times New Roman" w:cs="Times New Roman"/>
          <w:b/>
          <w:sz w:val="24"/>
          <w:szCs w:val="24"/>
        </w:rPr>
        <w:br/>
      </w:r>
    </w:p>
    <w:p w14:paraId="392E7E6F" w14:textId="77777777" w:rsidR="006E4B3A" w:rsidRPr="00A03CB5" w:rsidRDefault="00000000">
      <w:pP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Food addiction (FA) involves compulsive overeating of palatable, highly processed, energy-dense foods and characterizes the underlying mechanisms of compulsive eating </w:t>
      </w:r>
      <w:proofErr w:type="gramStart"/>
      <w:r w:rsidRPr="00A03CB5">
        <w:rPr>
          <w:rFonts w:ascii="Times New Roman" w:eastAsia="Times New Roman" w:hAnsi="Times New Roman" w:cs="Times New Roman"/>
          <w:sz w:val="24"/>
          <w:szCs w:val="24"/>
        </w:rPr>
        <w:t>similar to</w:t>
      </w:r>
      <w:proofErr w:type="gramEnd"/>
      <w:r w:rsidRPr="00A03CB5">
        <w:rPr>
          <w:rFonts w:ascii="Times New Roman" w:eastAsia="Times New Roman" w:hAnsi="Times New Roman" w:cs="Times New Roman"/>
          <w:sz w:val="24"/>
          <w:szCs w:val="24"/>
        </w:rPr>
        <w:t xml:space="preserve"> those of substance-use disorders or other behavioral addictions. Yet, it is still unclear how FA symptoms relate to changes in eating behavior over time. This study examined the extent to which changes in dietary patterns (i.e., highly processed food (HPF) intake, sweet taste responsivity, meal preparation and sources) related to changes in FA symptoms among a sample of 153 young adults (age 18-25) with varying risk levels for FA and binge-spectrum eating disorders. Participants completed online surveys at baseline, 3-months, and 6-months. Linear mixed models were used to assess concurrent and prospective associations between FA and dietary patterns over time. Concurrent models showed that between-person FA symptoms were significantly related to higher sweet taste responsivity (B=1.46,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=.002), HPF intake(</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=.19,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=.009), frequency of eating fast food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=.29,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eating at restaurants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=.27,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convenience stores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=.12,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heat and serve meals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=.09,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=.003), and food delivery services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=.19,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between-person FA was negatively associated with frequency of cooking from scratch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=-.12,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 xml:space="preserve">=.012). Within-person effects indicated higher FA symptoms at a given assessment were concurrently associated with higher sweet taste </w:t>
      </w:r>
      <w:proofErr w:type="gramStart"/>
      <w:r w:rsidRPr="00A03CB5">
        <w:rPr>
          <w:rFonts w:ascii="Times New Roman" w:eastAsia="Times New Roman" w:hAnsi="Times New Roman" w:cs="Times New Roman"/>
          <w:sz w:val="24"/>
          <w:szCs w:val="24"/>
        </w:rPr>
        <w:t>responsivity(</w:t>
      </w:r>
      <w:proofErr w:type="gramEnd"/>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=1.25,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and HPF intake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=.18,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 xml:space="preserve">=.011). There were no prospective effects. Findings suggest that individuals who experience more FA symptoms are more likely to have a higher intake of HPF, a greater preference for sweet taste, and an increased reliance on fast food, convenience stores, and food delivery services. </w:t>
      </w:r>
    </w:p>
    <w:p w14:paraId="47B547B5" w14:textId="77777777" w:rsidR="006E4B3A" w:rsidRPr="00A03CB5" w:rsidRDefault="006E4B3A">
      <w:pPr>
        <w:rPr>
          <w:rFonts w:ascii="Times New Roman" w:eastAsia="Times New Roman" w:hAnsi="Times New Roman" w:cs="Times New Roman"/>
          <w:sz w:val="24"/>
          <w:szCs w:val="24"/>
        </w:rPr>
      </w:pPr>
    </w:p>
    <w:p w14:paraId="108CCD5D" w14:textId="77777777" w:rsidR="006E4B3A" w:rsidRPr="00A03CB5" w:rsidRDefault="00000000">
      <w:pPr>
        <w:spacing w:before="200"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Keywords: binge eating, food addiction, eating disorder, processed food, dietary patterns </w:t>
      </w:r>
    </w:p>
    <w:p w14:paraId="04AF1DC3" w14:textId="77777777" w:rsidR="006E4B3A" w:rsidRPr="00A03CB5" w:rsidRDefault="006E4B3A">
      <w:pPr>
        <w:spacing w:before="200" w:line="240" w:lineRule="auto"/>
        <w:rPr>
          <w:rFonts w:ascii="Times New Roman" w:eastAsia="Times New Roman" w:hAnsi="Times New Roman" w:cs="Times New Roman"/>
          <w:b/>
          <w:sz w:val="24"/>
          <w:szCs w:val="24"/>
        </w:rPr>
      </w:pPr>
    </w:p>
    <w:p w14:paraId="4D15856D" w14:textId="77777777" w:rsidR="006E4B3A" w:rsidRPr="00A03CB5" w:rsidRDefault="006E4B3A">
      <w:pPr>
        <w:spacing w:before="200" w:line="240" w:lineRule="auto"/>
        <w:rPr>
          <w:rFonts w:ascii="Times New Roman" w:eastAsia="Times New Roman" w:hAnsi="Times New Roman" w:cs="Times New Roman"/>
          <w:b/>
          <w:sz w:val="24"/>
          <w:szCs w:val="24"/>
        </w:rPr>
      </w:pPr>
    </w:p>
    <w:p w14:paraId="4DAC7A4B" w14:textId="77777777" w:rsidR="006E4B3A" w:rsidRPr="00A03CB5" w:rsidRDefault="006E4B3A">
      <w:pPr>
        <w:spacing w:before="200" w:line="240" w:lineRule="auto"/>
        <w:rPr>
          <w:rFonts w:ascii="Times New Roman" w:eastAsia="Times New Roman" w:hAnsi="Times New Roman" w:cs="Times New Roman"/>
          <w:b/>
          <w:sz w:val="24"/>
          <w:szCs w:val="24"/>
        </w:rPr>
      </w:pPr>
    </w:p>
    <w:p w14:paraId="6CDC64F6" w14:textId="77777777" w:rsidR="006E4B3A" w:rsidRPr="00A03CB5" w:rsidRDefault="006E4B3A">
      <w:pPr>
        <w:spacing w:before="200" w:line="240" w:lineRule="auto"/>
        <w:rPr>
          <w:rFonts w:ascii="Times New Roman" w:eastAsia="Times New Roman" w:hAnsi="Times New Roman" w:cs="Times New Roman"/>
          <w:b/>
          <w:sz w:val="24"/>
          <w:szCs w:val="24"/>
        </w:rPr>
      </w:pPr>
    </w:p>
    <w:p w14:paraId="5E1A29C7" w14:textId="77777777" w:rsidR="006E4B3A" w:rsidRPr="00A03CB5" w:rsidRDefault="006E4B3A">
      <w:pPr>
        <w:spacing w:before="200" w:line="240" w:lineRule="auto"/>
        <w:rPr>
          <w:rFonts w:ascii="Times New Roman" w:eastAsia="Times New Roman" w:hAnsi="Times New Roman" w:cs="Times New Roman"/>
          <w:b/>
          <w:sz w:val="24"/>
          <w:szCs w:val="24"/>
        </w:rPr>
      </w:pPr>
    </w:p>
    <w:p w14:paraId="2CC18D3D" w14:textId="77777777" w:rsidR="006E4B3A" w:rsidRPr="00A03CB5" w:rsidRDefault="006E4B3A">
      <w:pPr>
        <w:spacing w:before="200" w:line="240" w:lineRule="auto"/>
        <w:rPr>
          <w:rFonts w:ascii="Times New Roman" w:eastAsia="Times New Roman" w:hAnsi="Times New Roman" w:cs="Times New Roman"/>
          <w:b/>
          <w:sz w:val="24"/>
          <w:szCs w:val="24"/>
        </w:rPr>
      </w:pPr>
    </w:p>
    <w:p w14:paraId="18541DC0" w14:textId="77777777" w:rsidR="006E4B3A" w:rsidRPr="00A03CB5" w:rsidRDefault="006E4B3A">
      <w:pPr>
        <w:spacing w:before="200" w:line="240" w:lineRule="auto"/>
        <w:rPr>
          <w:rFonts w:ascii="Times New Roman" w:eastAsia="Times New Roman" w:hAnsi="Times New Roman" w:cs="Times New Roman"/>
          <w:b/>
          <w:sz w:val="24"/>
          <w:szCs w:val="24"/>
        </w:rPr>
      </w:pPr>
    </w:p>
    <w:p w14:paraId="6E061841" w14:textId="77777777" w:rsidR="006E4B3A" w:rsidRPr="00A03CB5" w:rsidRDefault="006E4B3A">
      <w:pPr>
        <w:spacing w:before="200" w:line="240" w:lineRule="auto"/>
        <w:rPr>
          <w:rFonts w:ascii="Times New Roman" w:eastAsia="Times New Roman" w:hAnsi="Times New Roman" w:cs="Times New Roman"/>
          <w:b/>
          <w:sz w:val="24"/>
          <w:szCs w:val="24"/>
        </w:rPr>
      </w:pPr>
    </w:p>
    <w:p w14:paraId="7ADD56B8" w14:textId="77777777" w:rsidR="006E4B3A" w:rsidRPr="00A03CB5" w:rsidRDefault="006E4B3A">
      <w:pPr>
        <w:spacing w:before="200" w:line="240" w:lineRule="auto"/>
        <w:rPr>
          <w:rFonts w:ascii="Times New Roman" w:eastAsia="Times New Roman" w:hAnsi="Times New Roman" w:cs="Times New Roman"/>
          <w:b/>
          <w:sz w:val="24"/>
          <w:szCs w:val="24"/>
        </w:rPr>
      </w:pPr>
    </w:p>
    <w:p w14:paraId="1854BA45" w14:textId="77777777" w:rsidR="006E4B3A" w:rsidRPr="00A03CB5" w:rsidRDefault="006E4B3A">
      <w:pPr>
        <w:spacing w:before="200" w:line="240" w:lineRule="auto"/>
        <w:rPr>
          <w:rFonts w:ascii="Times New Roman" w:eastAsia="Times New Roman" w:hAnsi="Times New Roman" w:cs="Times New Roman"/>
          <w:b/>
          <w:sz w:val="24"/>
          <w:szCs w:val="24"/>
        </w:rPr>
      </w:pPr>
    </w:p>
    <w:p w14:paraId="057AB26D" w14:textId="77777777" w:rsidR="006E4B3A" w:rsidRPr="00A03CB5" w:rsidRDefault="006E4B3A">
      <w:pPr>
        <w:spacing w:before="200" w:line="240" w:lineRule="auto"/>
        <w:rPr>
          <w:rFonts w:ascii="Times New Roman" w:eastAsia="Times New Roman" w:hAnsi="Times New Roman" w:cs="Times New Roman"/>
          <w:b/>
          <w:sz w:val="24"/>
          <w:szCs w:val="24"/>
        </w:rPr>
      </w:pPr>
    </w:p>
    <w:p w14:paraId="4F1BAC67" w14:textId="77777777" w:rsidR="006E4B3A" w:rsidRPr="00A03CB5" w:rsidRDefault="00000000">
      <w:pPr>
        <w:numPr>
          <w:ilvl w:val="0"/>
          <w:numId w:val="6"/>
        </w:numPr>
        <w:spacing w:before="200" w:line="240" w:lineRule="auto"/>
        <w:jc w:val="center"/>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lastRenderedPageBreak/>
        <w:t>Introduction</w:t>
      </w:r>
    </w:p>
    <w:p w14:paraId="73B1DD15" w14:textId="77777777" w:rsidR="006E4B3A" w:rsidRPr="00A03CB5" w:rsidRDefault="00000000">
      <w:pPr>
        <w:spacing w:before="200" w:line="240" w:lineRule="auto"/>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t xml:space="preserve">1.1. Background </w:t>
      </w:r>
    </w:p>
    <w:p w14:paraId="097B5D87" w14:textId="77777777"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Food addiction (FA) involves compulsive overeating of palatable, highly processed, energy-dense foods (</w:t>
      </w: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Corbin, &amp; Brownell, 2009). FA characterizes the underlying mechanisms of compulsive eating similar to those of substance-use disorders (SUDs) or other behavioral addictions (</w:t>
      </w: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et al., 2009), </w:t>
      </w:r>
      <w:proofErr w:type="gramStart"/>
      <w:r w:rsidRPr="00A03CB5">
        <w:rPr>
          <w:rFonts w:ascii="Times New Roman" w:eastAsia="Times New Roman" w:hAnsi="Times New Roman" w:cs="Times New Roman"/>
          <w:sz w:val="24"/>
          <w:szCs w:val="24"/>
        </w:rPr>
        <w:t>originally  based</w:t>
      </w:r>
      <w:proofErr w:type="gramEnd"/>
      <w:r w:rsidRPr="00A03CB5">
        <w:rPr>
          <w:rFonts w:ascii="Times New Roman" w:eastAsia="Times New Roman" w:hAnsi="Times New Roman" w:cs="Times New Roman"/>
          <w:sz w:val="24"/>
          <w:szCs w:val="24"/>
        </w:rPr>
        <w:t xml:space="preserve"> on evidence that highly processed foods (HPF) high in sugar and fat may have addictive potential and activate reward-related neural circuitry similarly to drugs of abuse (</w:t>
      </w: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et al., 2011). Such foods may trigger addictive eating tendencies, leading to overeating, binge eating, and obesity (</w:t>
      </w: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et. al., 2011). FA, which can be defined on a continuous spectrum of symptom severity or as a “diagnosis” (based on the Yale Food Addiction Scale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2.0; </w:t>
      </w:r>
      <w:r w:rsidRPr="00A03CB5">
        <w:rPr>
          <w:rFonts w:ascii="Times New Roman" w:eastAsia="Times New Roman" w:hAnsi="Times New Roman" w:cs="Times New Roman"/>
          <w:i/>
          <w:sz w:val="24"/>
          <w:szCs w:val="24"/>
          <w:highlight w:val="white"/>
        </w:rPr>
        <w:t xml:space="preserve">Schulte &amp; </w:t>
      </w:r>
      <w:proofErr w:type="spellStart"/>
      <w:r w:rsidRPr="00A03CB5">
        <w:rPr>
          <w:rFonts w:ascii="Times New Roman" w:eastAsia="Times New Roman" w:hAnsi="Times New Roman" w:cs="Times New Roman"/>
          <w:i/>
          <w:sz w:val="24"/>
          <w:szCs w:val="24"/>
          <w:highlight w:val="white"/>
        </w:rPr>
        <w:t>Gearhardt</w:t>
      </w:r>
      <w:proofErr w:type="spellEnd"/>
      <w:r w:rsidRPr="00A03CB5">
        <w:rPr>
          <w:rFonts w:ascii="Times New Roman" w:eastAsia="Times New Roman" w:hAnsi="Times New Roman" w:cs="Times New Roman"/>
          <w:i/>
          <w:sz w:val="24"/>
          <w:szCs w:val="24"/>
          <w:highlight w:val="white"/>
        </w:rPr>
        <w:t>, 2017</w:t>
      </w:r>
      <w:r w:rsidRPr="00A03CB5">
        <w:rPr>
          <w:rFonts w:ascii="Times New Roman" w:eastAsia="Times New Roman" w:hAnsi="Times New Roman" w:cs="Times New Roman"/>
          <w:sz w:val="24"/>
          <w:szCs w:val="24"/>
        </w:rPr>
        <w:t>)), has also been linked to co-occurring psychosocial impairment, distress, and psychiatric comorbidities (Carr et al., 2021; Piccinni et al., 2021). Yet, it is still unclear how FA symptoms relate to changes in eating behavior over time.</w:t>
      </w:r>
    </w:p>
    <w:p w14:paraId="5CBFB0EC" w14:textId="77777777"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Based on the theoretical conceptualization of FA, FA may be associated with changes in dietary patterns that are associated with greater consumption of highly processed food. For example, FA symptoms have been associated with higher intake of total fat and sugar, processed foods, and lower consumption of fresh fruits and vegetables (Ayaz, 2018; </w:t>
      </w:r>
      <w:proofErr w:type="spellStart"/>
      <w:r w:rsidRPr="00A03CB5">
        <w:rPr>
          <w:rFonts w:ascii="Times New Roman" w:eastAsia="Times New Roman" w:hAnsi="Times New Roman" w:cs="Times New Roman"/>
          <w:sz w:val="24"/>
          <w:szCs w:val="24"/>
        </w:rPr>
        <w:t>Reche</w:t>
      </w:r>
      <w:proofErr w:type="spellEnd"/>
      <w:r w:rsidRPr="00A03CB5">
        <w:rPr>
          <w:rFonts w:ascii="Times New Roman" w:eastAsia="Times New Roman" w:hAnsi="Times New Roman" w:cs="Times New Roman"/>
          <w:sz w:val="24"/>
          <w:szCs w:val="24"/>
        </w:rPr>
        <w:t>-García, 2022; Júnior, 2023). Another study of young adults demonstrated that a higher number of FA symptoms, regardless of FA diagnosis, was associated with higher intake of highly processed foods (</w:t>
      </w:r>
      <w:proofErr w:type="spellStart"/>
      <w:r w:rsidRPr="00A03CB5">
        <w:rPr>
          <w:rFonts w:ascii="Times New Roman" w:eastAsia="Times New Roman" w:hAnsi="Times New Roman" w:cs="Times New Roman"/>
          <w:sz w:val="24"/>
          <w:szCs w:val="24"/>
        </w:rPr>
        <w:t>Whatnall</w:t>
      </w:r>
      <w:proofErr w:type="spellEnd"/>
      <w:r w:rsidRPr="00A03CB5">
        <w:rPr>
          <w:rFonts w:ascii="Times New Roman" w:eastAsia="Times New Roman" w:hAnsi="Times New Roman" w:cs="Times New Roman"/>
          <w:sz w:val="24"/>
          <w:szCs w:val="24"/>
        </w:rPr>
        <w:t xml:space="preserve"> et al., 2022). </w:t>
      </w:r>
    </w:p>
    <w:p w14:paraId="40F3465F" w14:textId="77777777"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Furthermore, attitudes toward and consumption of sweet foods and highly processed foods have been implicated in FA as these foods may engage dopaminergic reward pathways involved in addictive behaviors. A review found that subjective pleasure from sweet taste activates reward-related neural circuitry, overlapping with pathways activated by addictive substances like alcohol and opiates (</w:t>
      </w:r>
      <w:proofErr w:type="spellStart"/>
      <w:r w:rsidRPr="00A03CB5">
        <w:rPr>
          <w:rFonts w:ascii="Times New Roman" w:eastAsia="Times New Roman" w:hAnsi="Times New Roman" w:cs="Times New Roman"/>
          <w:sz w:val="24"/>
          <w:szCs w:val="24"/>
        </w:rPr>
        <w:t>Drewnowski</w:t>
      </w:r>
      <w:proofErr w:type="spellEnd"/>
      <w:r w:rsidRPr="00A03CB5">
        <w:rPr>
          <w:rFonts w:ascii="Times New Roman" w:eastAsia="Times New Roman" w:hAnsi="Times New Roman" w:cs="Times New Roman"/>
          <w:sz w:val="24"/>
          <w:szCs w:val="24"/>
        </w:rPr>
        <w:t xml:space="preserve"> et al., 2012). Similarly, research on ultra-processed foods has shown that the combination of sugar and fat, particularly in processed foods, may heighten this addictive potential (</w:t>
      </w: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et al., 2023). Developmental differences in sweet taste preferences have also been observed, with children showing a higher preference for sweetness than adults (</w:t>
      </w:r>
      <w:proofErr w:type="spellStart"/>
      <w:r w:rsidRPr="00A03CB5">
        <w:rPr>
          <w:rFonts w:ascii="Times New Roman" w:eastAsia="Times New Roman" w:hAnsi="Times New Roman" w:cs="Times New Roman"/>
          <w:sz w:val="24"/>
          <w:szCs w:val="24"/>
        </w:rPr>
        <w:t>Drewnoski</w:t>
      </w:r>
      <w:proofErr w:type="spellEnd"/>
      <w:r w:rsidRPr="00A03CB5">
        <w:rPr>
          <w:rFonts w:ascii="Times New Roman" w:eastAsia="Times New Roman" w:hAnsi="Times New Roman" w:cs="Times New Roman"/>
          <w:sz w:val="24"/>
          <w:szCs w:val="24"/>
        </w:rPr>
        <w:t xml:space="preserve"> et al., 2012). However, the literature currently lacks sufficient longitudinal research examining how FA symptoms predict </w:t>
      </w:r>
      <w:proofErr w:type="gramStart"/>
      <w:r w:rsidRPr="00A03CB5">
        <w:rPr>
          <w:rFonts w:ascii="Times New Roman" w:eastAsia="Times New Roman" w:hAnsi="Times New Roman" w:cs="Times New Roman"/>
          <w:sz w:val="24"/>
          <w:szCs w:val="24"/>
        </w:rPr>
        <w:t>relevant  dietary</w:t>
      </w:r>
      <w:proofErr w:type="gramEnd"/>
      <w:r w:rsidRPr="00A03CB5">
        <w:rPr>
          <w:rFonts w:ascii="Times New Roman" w:eastAsia="Times New Roman" w:hAnsi="Times New Roman" w:cs="Times New Roman"/>
          <w:sz w:val="24"/>
          <w:szCs w:val="24"/>
        </w:rPr>
        <w:t xml:space="preserve"> outcomes, specifically sweet taste preference and highly processed food consumption. </w:t>
      </w:r>
    </w:p>
    <w:p w14:paraId="4FDF6EEC" w14:textId="77777777"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Additionally, methods of meal preparation and food sources have previously been associated with obesity and increased body mass index (BMI), which are strongly associated with FA</w:t>
      </w:r>
      <w:r w:rsidRPr="00A03CB5">
        <w:rPr>
          <w:rFonts w:ascii="Times New Roman" w:eastAsia="Times New Roman" w:hAnsi="Times New Roman" w:cs="Times New Roman"/>
          <w:i/>
          <w:sz w:val="24"/>
          <w:szCs w:val="24"/>
        </w:rPr>
        <w:t xml:space="preserve"> </w:t>
      </w:r>
      <w:r w:rsidRPr="00A03CB5">
        <w:rPr>
          <w:rFonts w:ascii="Times New Roman" w:eastAsia="Times New Roman" w:hAnsi="Times New Roman" w:cs="Times New Roman"/>
          <w:sz w:val="24"/>
          <w:szCs w:val="24"/>
        </w:rPr>
        <w:t>(</w:t>
      </w:r>
      <w:proofErr w:type="spellStart"/>
      <w:r w:rsidRPr="00A03CB5">
        <w:rPr>
          <w:rFonts w:ascii="Times New Roman" w:eastAsia="Times New Roman" w:hAnsi="Times New Roman" w:cs="Times New Roman"/>
          <w:sz w:val="24"/>
          <w:szCs w:val="24"/>
        </w:rPr>
        <w:t>Pedram</w:t>
      </w:r>
      <w:proofErr w:type="spellEnd"/>
      <w:r w:rsidRPr="00A03CB5">
        <w:rPr>
          <w:rFonts w:ascii="Times New Roman" w:eastAsia="Times New Roman" w:hAnsi="Times New Roman" w:cs="Times New Roman"/>
          <w:sz w:val="24"/>
          <w:szCs w:val="24"/>
        </w:rPr>
        <w:t xml:space="preserve"> et al., 2013). Higher rates of </w:t>
      </w:r>
      <w:proofErr w:type="gramStart"/>
      <w:r w:rsidRPr="00A03CB5">
        <w:rPr>
          <w:rFonts w:ascii="Times New Roman" w:eastAsia="Times New Roman" w:hAnsi="Times New Roman" w:cs="Times New Roman"/>
          <w:sz w:val="24"/>
          <w:szCs w:val="24"/>
        </w:rPr>
        <w:t>fast food</w:t>
      </w:r>
      <w:proofErr w:type="gramEnd"/>
      <w:r w:rsidRPr="00A03CB5">
        <w:rPr>
          <w:rFonts w:ascii="Times New Roman" w:eastAsia="Times New Roman" w:hAnsi="Times New Roman" w:cs="Times New Roman"/>
          <w:sz w:val="24"/>
          <w:szCs w:val="24"/>
        </w:rPr>
        <w:t xml:space="preserve"> consumption are linked to increasing rates of severe obesity (Garcia et al., 2012). Consumption of ready-made meals (e.g., microwave meals or frozen pizza) is associated with higher energy intake and poor compliance with national nutritional recommendations (</w:t>
      </w:r>
      <w:proofErr w:type="spellStart"/>
      <w:r w:rsidRPr="00A03CB5">
        <w:rPr>
          <w:rFonts w:ascii="Times New Roman" w:eastAsia="Times New Roman" w:hAnsi="Times New Roman" w:cs="Times New Roman"/>
          <w:sz w:val="24"/>
          <w:szCs w:val="24"/>
        </w:rPr>
        <w:t>Alkerwi</w:t>
      </w:r>
      <w:proofErr w:type="spellEnd"/>
      <w:r w:rsidRPr="00A03CB5">
        <w:rPr>
          <w:rFonts w:ascii="Times New Roman" w:eastAsia="Times New Roman" w:hAnsi="Times New Roman" w:cs="Times New Roman"/>
          <w:sz w:val="24"/>
          <w:szCs w:val="24"/>
        </w:rPr>
        <w:t xml:space="preserve"> et al., 2014). Another study assessed away-from-home food intake and obesity risk in parents of children, which found relationships between eating outside of the home and obesity (Ayala et al., 2012). Specifically, weekly consumption of restaurant food was associated with increased child and adult BMI (Ayala et al., 2012). </w:t>
      </w:r>
    </w:p>
    <w:p w14:paraId="49AF275B" w14:textId="77777777"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Although prior research on meal preparation and food sources has primarily examined their relationship to obesity and weight gain, these findings are relevant for understanding how food source selection may be linked </w:t>
      </w:r>
      <w:proofErr w:type="gramStart"/>
      <w:r w:rsidRPr="00A03CB5">
        <w:rPr>
          <w:rFonts w:ascii="Times New Roman" w:eastAsia="Times New Roman" w:hAnsi="Times New Roman" w:cs="Times New Roman"/>
          <w:sz w:val="24"/>
          <w:szCs w:val="24"/>
        </w:rPr>
        <w:t>to  FA</w:t>
      </w:r>
      <w:proofErr w:type="gramEnd"/>
      <w:r w:rsidRPr="00A03CB5">
        <w:rPr>
          <w:rFonts w:ascii="Times New Roman" w:eastAsia="Times New Roman" w:hAnsi="Times New Roman" w:cs="Times New Roman"/>
          <w:sz w:val="24"/>
          <w:szCs w:val="24"/>
        </w:rPr>
        <w:t xml:space="preserve"> symptoms. Specifically, certain types of food sources, such as fast-food outlets and convenience stores, are more likely to offer highly processed, calorie-dense foods. Individuals with higher FA symptoms may be more inclined toward these sources, </w:t>
      </w:r>
      <w:r w:rsidRPr="00A03CB5">
        <w:rPr>
          <w:rFonts w:ascii="Times New Roman" w:eastAsia="Times New Roman" w:hAnsi="Times New Roman" w:cs="Times New Roman"/>
          <w:sz w:val="24"/>
          <w:szCs w:val="24"/>
        </w:rPr>
        <w:lastRenderedPageBreak/>
        <w:t xml:space="preserve">potentially leading to dietary patterns dominated by processed foods, which are more readily accessible through such outlets (Walker et al., 2010). FA symptoms may also influence meal preparation practices. Individuals with higher FA </w:t>
      </w:r>
      <w:proofErr w:type="gramStart"/>
      <w:r w:rsidRPr="00A03CB5">
        <w:rPr>
          <w:rFonts w:ascii="Times New Roman" w:eastAsia="Times New Roman" w:hAnsi="Times New Roman" w:cs="Times New Roman"/>
          <w:sz w:val="24"/>
          <w:szCs w:val="24"/>
        </w:rPr>
        <w:t>may  rely</w:t>
      </w:r>
      <w:proofErr w:type="gramEnd"/>
      <w:r w:rsidRPr="00A03CB5">
        <w:rPr>
          <w:rFonts w:ascii="Times New Roman" w:eastAsia="Times New Roman" w:hAnsi="Times New Roman" w:cs="Times New Roman"/>
          <w:sz w:val="24"/>
          <w:szCs w:val="24"/>
        </w:rPr>
        <w:t xml:space="preserve"> more heavily on ready-made or pre-prepared meals, commonly available at fast-food outlets or convenience stores (Larson et al., 2009). While past studies have examined general dietary behaviors in relation to food sources, no research has examined how FA symptoms relate to meal preparation practices and reliance on certain food </w:t>
      </w:r>
      <w:proofErr w:type="gramStart"/>
      <w:r w:rsidRPr="00A03CB5">
        <w:rPr>
          <w:rFonts w:ascii="Times New Roman" w:eastAsia="Times New Roman" w:hAnsi="Times New Roman" w:cs="Times New Roman"/>
          <w:sz w:val="24"/>
          <w:szCs w:val="24"/>
        </w:rPr>
        <w:t>sources .</w:t>
      </w:r>
      <w:proofErr w:type="gramEnd"/>
      <w:r w:rsidRPr="00A03CB5">
        <w:rPr>
          <w:rFonts w:ascii="Times New Roman" w:eastAsia="Times New Roman" w:hAnsi="Times New Roman" w:cs="Times New Roman"/>
          <w:sz w:val="24"/>
          <w:szCs w:val="24"/>
        </w:rPr>
        <w:t xml:space="preserve"> </w:t>
      </w:r>
    </w:p>
    <w:p w14:paraId="5F859CCE" w14:textId="77777777" w:rsidR="006E4B3A" w:rsidRPr="00A03CB5" w:rsidRDefault="006E4B3A">
      <w:pPr>
        <w:spacing w:line="240" w:lineRule="auto"/>
        <w:ind w:firstLine="720"/>
        <w:jc w:val="both"/>
        <w:rPr>
          <w:rFonts w:ascii="Times New Roman" w:eastAsia="Times New Roman" w:hAnsi="Times New Roman" w:cs="Times New Roman"/>
          <w:sz w:val="24"/>
          <w:szCs w:val="24"/>
        </w:rPr>
      </w:pPr>
    </w:p>
    <w:p w14:paraId="23DD875E" w14:textId="77777777" w:rsidR="006E4B3A" w:rsidRPr="00A03CB5" w:rsidRDefault="006E4B3A">
      <w:pPr>
        <w:spacing w:line="240" w:lineRule="auto"/>
        <w:ind w:firstLine="720"/>
        <w:jc w:val="both"/>
        <w:rPr>
          <w:rFonts w:ascii="Times New Roman" w:eastAsia="Times New Roman" w:hAnsi="Times New Roman" w:cs="Times New Roman"/>
          <w:sz w:val="24"/>
          <w:szCs w:val="24"/>
        </w:rPr>
      </w:pPr>
    </w:p>
    <w:p w14:paraId="049EF6A5" w14:textId="77777777" w:rsidR="006E4B3A" w:rsidRPr="00A03CB5" w:rsidRDefault="00000000">
      <w:pPr>
        <w:spacing w:line="240" w:lineRule="auto"/>
        <w:jc w:val="both"/>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t>1.2. This Study</w:t>
      </w:r>
    </w:p>
    <w:p w14:paraId="6168D515"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b/>
          <w:sz w:val="24"/>
          <w:szCs w:val="24"/>
        </w:rPr>
        <w:tab/>
      </w:r>
      <w:r w:rsidRPr="00A03CB5">
        <w:rPr>
          <w:rFonts w:ascii="Times New Roman" w:eastAsia="Times New Roman" w:hAnsi="Times New Roman" w:cs="Times New Roman"/>
          <w:sz w:val="24"/>
          <w:szCs w:val="24"/>
        </w:rPr>
        <w:t xml:space="preserve">In summary, there remains a lack of research into how FA symptomatology may influence specific dietary patterns, such as consumption of HPF, preference for sweet taste, and meal preparation methods/food source over time. The existing body of literature has demonstrated links between these aspects of dietary intake and </w:t>
      </w:r>
      <w:proofErr w:type="gramStart"/>
      <w:r w:rsidRPr="00A03CB5">
        <w:rPr>
          <w:rFonts w:ascii="Times New Roman" w:eastAsia="Times New Roman" w:hAnsi="Times New Roman" w:cs="Times New Roman"/>
          <w:sz w:val="24"/>
          <w:szCs w:val="24"/>
        </w:rPr>
        <w:t>FA,</w:t>
      </w:r>
      <w:proofErr w:type="gramEnd"/>
      <w:r w:rsidRPr="00A03CB5">
        <w:rPr>
          <w:rFonts w:ascii="Times New Roman" w:eastAsia="Times New Roman" w:hAnsi="Times New Roman" w:cs="Times New Roman"/>
          <w:sz w:val="24"/>
          <w:szCs w:val="24"/>
        </w:rPr>
        <w:t xml:space="preserve"> however it remains unclear how changes in FA symptoms overtime may influence changes in dietary patterns. To address these gaps, this study examined the extent to which changes in dietary patterns (i.e., highly processed food intake, </w:t>
      </w:r>
      <w:r w:rsidRPr="00A03CB5">
        <w:rPr>
          <w:rFonts w:ascii="Times New Roman" w:eastAsia="Times New Roman" w:hAnsi="Times New Roman" w:cs="Times New Roman"/>
          <w:color w:val="212121"/>
          <w:sz w:val="24"/>
          <w:szCs w:val="24"/>
          <w:highlight w:val="white"/>
        </w:rPr>
        <w:t>attitude towards sweet foods,</w:t>
      </w:r>
      <w:r w:rsidRPr="00A03CB5">
        <w:rPr>
          <w:rFonts w:ascii="Times New Roman" w:eastAsia="Times New Roman" w:hAnsi="Times New Roman" w:cs="Times New Roman"/>
          <w:sz w:val="24"/>
          <w:szCs w:val="24"/>
        </w:rPr>
        <w:t xml:space="preserve"> meal preparation and sources) relate to changes in FA symptoms among a sample of young adults (age 18-25) who exhibit varying risk levels for FA and binge-spectrum eating disorders (BSED) and who were assessed three times over six months. The sample included a </w:t>
      </w:r>
      <w:proofErr w:type="gramStart"/>
      <w:r w:rsidRPr="00A03CB5">
        <w:rPr>
          <w:rFonts w:ascii="Times New Roman" w:eastAsia="Times New Roman" w:hAnsi="Times New Roman" w:cs="Times New Roman"/>
          <w:sz w:val="24"/>
          <w:szCs w:val="24"/>
        </w:rPr>
        <w:t>low risk</w:t>
      </w:r>
      <w:proofErr w:type="gramEnd"/>
      <w:r w:rsidRPr="00A03CB5">
        <w:rPr>
          <w:rFonts w:ascii="Times New Roman" w:eastAsia="Times New Roman" w:hAnsi="Times New Roman" w:cs="Times New Roman"/>
          <w:sz w:val="24"/>
          <w:szCs w:val="24"/>
        </w:rPr>
        <w:t xml:space="preserve"> group, high risk group, and probable diagnosis group in order to ensure sufficient variability in FA symptoms. This age range was chosen because eating psychopathology tends to peak during late adolescence and early adulthood, a critical developmental phase often marked by major life transitions, heightened stress, and increased independence in managing one’s food intake (Goldschmidt et al., 2014; Schmidt et al., 2016). It was hypothesized that as FA symptoms increase, there would be concurrent and prospective changes in dietary patterns, specifically increased HPF consumption, increased preference for sweet taste, and greater consumption of ready-made meals and meals outside of the home.</w:t>
      </w:r>
    </w:p>
    <w:p w14:paraId="0DC368DD" w14:textId="77777777" w:rsidR="006E4B3A" w:rsidRPr="00A03CB5" w:rsidRDefault="006E4B3A">
      <w:pPr>
        <w:spacing w:line="240" w:lineRule="auto"/>
        <w:jc w:val="both"/>
        <w:rPr>
          <w:rFonts w:ascii="Times New Roman" w:eastAsia="Times New Roman" w:hAnsi="Times New Roman" w:cs="Times New Roman"/>
          <w:sz w:val="24"/>
          <w:szCs w:val="24"/>
        </w:rPr>
      </w:pPr>
    </w:p>
    <w:p w14:paraId="1C9A9EC9" w14:textId="77777777" w:rsidR="006E4B3A" w:rsidRPr="00A03CB5" w:rsidRDefault="00000000">
      <w:pPr>
        <w:numPr>
          <w:ilvl w:val="0"/>
          <w:numId w:val="6"/>
        </w:numPr>
        <w:spacing w:line="240" w:lineRule="auto"/>
        <w:jc w:val="center"/>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t xml:space="preserve">Methods </w:t>
      </w:r>
    </w:p>
    <w:p w14:paraId="72CA36D8" w14:textId="77777777" w:rsidR="006E4B3A" w:rsidRPr="00A03CB5" w:rsidRDefault="00000000">
      <w:pPr>
        <w:spacing w:line="240" w:lineRule="auto"/>
        <w:jc w:val="both"/>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t xml:space="preserve">2.1. Participants and Recruitment. </w:t>
      </w:r>
    </w:p>
    <w:p w14:paraId="52A6F4A7" w14:textId="77777777"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Young adult participants were recruited using online advertisements (e.g., Facebook, Instagram, </w:t>
      </w:r>
      <w:proofErr w:type="spellStart"/>
      <w:r w:rsidRPr="00A03CB5">
        <w:rPr>
          <w:rFonts w:ascii="Times New Roman" w:eastAsia="Times New Roman" w:hAnsi="Times New Roman" w:cs="Times New Roman"/>
          <w:sz w:val="24"/>
          <w:szCs w:val="24"/>
        </w:rPr>
        <w:t>ResearchMatch</w:t>
      </w:r>
      <w:proofErr w:type="spellEnd"/>
      <w:r w:rsidRPr="00A03CB5">
        <w:rPr>
          <w:rFonts w:ascii="Times New Roman" w:eastAsia="Times New Roman" w:hAnsi="Times New Roman" w:cs="Times New Roman"/>
          <w:sz w:val="24"/>
          <w:szCs w:val="24"/>
        </w:rPr>
        <w:t xml:space="preserve">, websites), community flyers, and prior study databases. At the end of the enrollment period, 153 participants had been recruited. </w:t>
      </w:r>
    </w:p>
    <w:p w14:paraId="6A0491FE" w14:textId="77777777"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Inclusion criteria were (1) ability to read and speak English given that not all of the assessments used were available/have been validated for other demographic groups; (2) reside in the U.S. due to University of Southern California (USC) participant payment options through Amazon gift cards; and (3) were between the ages of 18 and 25. Participants that screened positive for any of the following reasons were excluded from the study: (1) underweight BMI (&lt;18.5 kg/m</w:t>
      </w:r>
      <w:r w:rsidRPr="00A03CB5">
        <w:rPr>
          <w:rFonts w:ascii="Times New Roman" w:eastAsia="Times New Roman" w:hAnsi="Times New Roman" w:cs="Times New Roman"/>
          <w:sz w:val="24"/>
          <w:szCs w:val="24"/>
          <w:vertAlign w:val="superscript"/>
        </w:rPr>
        <w:t>2</w:t>
      </w:r>
      <w:r w:rsidRPr="00A03CB5">
        <w:rPr>
          <w:rFonts w:ascii="Times New Roman" w:eastAsia="Times New Roman" w:hAnsi="Times New Roman" w:cs="Times New Roman"/>
          <w:sz w:val="24"/>
          <w:szCs w:val="24"/>
        </w:rPr>
        <w:t>) based on self-reported height/weight or reported a diagnosis of anorexia nervosa (due to potential for medical instability); (2) reported an intellectual disability or severe cognitive impairment (given such conditions may have interfered with understanding and completion of the protocol); (3) were currently pregnant or breastfeeding (given hormonal influences of pregnancy and lactation on eating behavior); (4) reported current inpatient or partial hospitalization (given the inability to capture typical daily functioning with in these settings); or (5) reported previous bariatric surgery.</w:t>
      </w:r>
    </w:p>
    <w:p w14:paraId="4C61A99F" w14:textId="77777777" w:rsidR="006E4B3A" w:rsidRPr="00A03CB5" w:rsidRDefault="00000000">
      <w:pPr>
        <w:spacing w:line="240" w:lineRule="auto"/>
        <w:ind w:firstLine="720"/>
        <w:jc w:val="both"/>
        <w:rPr>
          <w:rFonts w:ascii="Times New Roman" w:eastAsia="Times New Roman" w:hAnsi="Times New Roman" w:cs="Times New Roman"/>
          <w:sz w:val="24"/>
          <w:szCs w:val="24"/>
        </w:rPr>
      </w:pPr>
      <w:proofErr w:type="gramStart"/>
      <w:r w:rsidRPr="00A03CB5">
        <w:rPr>
          <w:rFonts w:ascii="Times New Roman" w:eastAsia="Times New Roman" w:hAnsi="Times New Roman" w:cs="Times New Roman"/>
          <w:sz w:val="24"/>
          <w:szCs w:val="24"/>
        </w:rPr>
        <w:lastRenderedPageBreak/>
        <w:t>In order to</w:t>
      </w:r>
      <w:proofErr w:type="gramEnd"/>
      <w:r w:rsidRPr="00A03CB5">
        <w:rPr>
          <w:rFonts w:ascii="Times New Roman" w:eastAsia="Times New Roman" w:hAnsi="Times New Roman" w:cs="Times New Roman"/>
          <w:sz w:val="24"/>
          <w:szCs w:val="24"/>
        </w:rPr>
        <w:t xml:space="preserve"> obtain sufficient variability in FA and binge-eating symptoms and change over time, we over-sampled individuals who exhibited elevated risk for FA and/or BSED or met criteria for a probable diagnosis of a BSED and/or FA; some overlap was expected between FA and BSED symptoms given their comorbidity. We therefore aimed to recruit 3 groups of 51 participants each (see Table 1 for summary of inclusion/exclusion criteria):</w:t>
      </w:r>
    </w:p>
    <w:p w14:paraId="59B50543" w14:textId="77777777" w:rsidR="006E4B3A" w:rsidRPr="00A03CB5" w:rsidRDefault="006E4B3A">
      <w:pPr>
        <w:spacing w:line="240" w:lineRule="auto"/>
        <w:jc w:val="both"/>
        <w:rPr>
          <w:rFonts w:ascii="Times New Roman" w:eastAsia="Times New Roman" w:hAnsi="Times New Roman" w:cs="Times New Roman"/>
          <w:sz w:val="24"/>
          <w:szCs w:val="24"/>
        </w:rPr>
      </w:pPr>
    </w:p>
    <w:p w14:paraId="1097C6A4" w14:textId="77777777" w:rsidR="006E4B3A" w:rsidRPr="00A03CB5" w:rsidRDefault="00000000">
      <w:pPr>
        <w:numPr>
          <w:ilvl w:val="0"/>
          <w:numId w:val="9"/>
        </w:num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Probable diagnosis group (n=51). Individuals were assigned to this group if they had a probable diagnosis of FA based on the modified Yale Food Addiction Scale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and/or a probable diagnosis of a BSED (i.e., binge-eating disorder or bulimia nervosa) based on the Eating Disorder Diagnostic Scale (EDDS).</w:t>
      </w:r>
    </w:p>
    <w:p w14:paraId="29AC3940" w14:textId="77777777" w:rsidR="006E4B3A" w:rsidRPr="00A03CB5" w:rsidRDefault="006E4B3A">
      <w:pPr>
        <w:spacing w:line="240" w:lineRule="auto"/>
        <w:ind w:left="1440"/>
        <w:jc w:val="both"/>
        <w:rPr>
          <w:rFonts w:ascii="Times New Roman" w:eastAsia="Times New Roman" w:hAnsi="Times New Roman" w:cs="Times New Roman"/>
          <w:sz w:val="24"/>
          <w:szCs w:val="24"/>
        </w:rPr>
      </w:pPr>
    </w:p>
    <w:p w14:paraId="4F1D2484" w14:textId="77777777" w:rsidR="006E4B3A" w:rsidRPr="00A03CB5" w:rsidRDefault="00000000">
      <w:pPr>
        <w:numPr>
          <w:ilvl w:val="0"/>
          <w:numId w:val="9"/>
        </w:numPr>
        <w:spacing w:line="240" w:lineRule="auto"/>
        <w:jc w:val="both"/>
        <w:rPr>
          <w:rFonts w:ascii="Times New Roman" w:hAnsi="Times New Roman" w:cs="Times New Roman"/>
          <w:sz w:val="24"/>
          <w:szCs w:val="24"/>
        </w:rPr>
      </w:pPr>
      <w:r w:rsidRPr="00A03CB5">
        <w:rPr>
          <w:rFonts w:ascii="Times New Roman" w:eastAsia="Times New Roman" w:hAnsi="Times New Roman" w:cs="Times New Roman"/>
          <w:sz w:val="24"/>
          <w:szCs w:val="24"/>
        </w:rPr>
        <w:t xml:space="preserve">Higher risk group (n=51): Individuals were assigned to the “higher risk” group if they showed elevated risk for FA and/or a BSED but did not meet all diagnostic criteria for these conditions. </w:t>
      </w:r>
      <w:r w:rsidRPr="00A03CB5">
        <w:rPr>
          <w:rFonts w:ascii="Times New Roman" w:eastAsia="Times New Roman" w:hAnsi="Times New Roman" w:cs="Times New Roman"/>
          <w:b/>
          <w:sz w:val="24"/>
          <w:szCs w:val="24"/>
        </w:rPr>
        <w:t>Elevated risk for a BSED</w:t>
      </w:r>
      <w:r w:rsidRPr="00A03CB5">
        <w:rPr>
          <w:rFonts w:ascii="Times New Roman" w:eastAsia="Times New Roman" w:hAnsi="Times New Roman" w:cs="Times New Roman"/>
          <w:sz w:val="24"/>
          <w:szCs w:val="24"/>
        </w:rPr>
        <w:t xml:space="preserve"> was defined as: (1) exhibiting prodromal BSED symptoms, as operationalized by meeting criteria for probable subthreshold bulimia nervosa or binge-eating disorder based on the EDDS; and/or (2) a global score on the Eating Disorder Examination Questionnaire 8 (EDE-Q8) reflecting elevated body image and eating concerns (</w:t>
      </w:r>
      <w:proofErr w:type="spellStart"/>
      <w:r w:rsidRPr="00A03CB5">
        <w:rPr>
          <w:rFonts w:ascii="Times New Roman" w:eastAsia="Times New Roman" w:hAnsi="Times New Roman" w:cs="Times New Roman"/>
          <w:sz w:val="24"/>
          <w:szCs w:val="24"/>
        </w:rPr>
        <w:t>Kliem</w:t>
      </w:r>
      <w:proofErr w:type="spellEnd"/>
      <w:r w:rsidRPr="00A03CB5">
        <w:rPr>
          <w:rFonts w:ascii="Times New Roman" w:eastAsia="Times New Roman" w:hAnsi="Times New Roman" w:cs="Times New Roman"/>
          <w:sz w:val="24"/>
          <w:szCs w:val="24"/>
        </w:rPr>
        <w:t xml:space="preserve"> et al., 2016). </w:t>
      </w:r>
      <w:r w:rsidRPr="00A03CB5">
        <w:rPr>
          <w:rFonts w:ascii="Times New Roman" w:eastAsia="Times New Roman" w:hAnsi="Times New Roman" w:cs="Times New Roman"/>
          <w:b/>
          <w:sz w:val="24"/>
          <w:szCs w:val="24"/>
        </w:rPr>
        <w:t>Elevated risk for FA</w:t>
      </w:r>
      <w:r w:rsidRPr="00A03CB5">
        <w:rPr>
          <w:rFonts w:ascii="Times New Roman" w:eastAsia="Gungsuh" w:hAnsi="Times New Roman" w:cs="Times New Roman"/>
          <w:sz w:val="24"/>
          <w:szCs w:val="24"/>
        </w:rPr>
        <w:t xml:space="preserve"> was defined as a </w:t>
      </w:r>
      <w:proofErr w:type="spellStart"/>
      <w:r w:rsidRPr="00A03CB5">
        <w:rPr>
          <w:rFonts w:ascii="Times New Roman" w:eastAsia="Gungsuh" w:hAnsi="Times New Roman" w:cs="Times New Roman"/>
          <w:sz w:val="24"/>
          <w:szCs w:val="24"/>
        </w:rPr>
        <w:t>mYFAS</w:t>
      </w:r>
      <w:proofErr w:type="spellEnd"/>
      <w:r w:rsidRPr="00A03CB5">
        <w:rPr>
          <w:rFonts w:ascii="Times New Roman" w:eastAsia="Gungsuh" w:hAnsi="Times New Roman" w:cs="Times New Roman"/>
          <w:sz w:val="24"/>
          <w:szCs w:val="24"/>
        </w:rPr>
        <w:t xml:space="preserve"> symptom count ≥ 3 but not meeting the diagnostic threshold for FA; this definition has been previously used to define elevated FA risk and reflects 1 SD above the mean YFAS symptom count observed in non-clinical samples (</w:t>
      </w:r>
      <w:proofErr w:type="spellStart"/>
      <w:r w:rsidRPr="00A03CB5">
        <w:rPr>
          <w:rFonts w:ascii="Times New Roman" w:eastAsia="Times New Roman" w:hAnsi="Times New Roman" w:cs="Times New Roman"/>
          <w:sz w:val="24"/>
          <w:szCs w:val="24"/>
          <w:highlight w:val="white"/>
        </w:rPr>
        <w:t>Innamorati</w:t>
      </w:r>
      <w:proofErr w:type="spellEnd"/>
      <w:r w:rsidRPr="00A03CB5">
        <w:rPr>
          <w:rFonts w:ascii="Times New Roman" w:eastAsia="Times New Roman" w:hAnsi="Times New Roman" w:cs="Times New Roman"/>
          <w:sz w:val="24"/>
          <w:szCs w:val="24"/>
          <w:highlight w:val="white"/>
        </w:rPr>
        <w:t xml:space="preserve"> et al., 2017; </w:t>
      </w:r>
      <w:proofErr w:type="spellStart"/>
      <w:r w:rsidRPr="00A03CB5">
        <w:rPr>
          <w:rFonts w:ascii="Times New Roman" w:eastAsia="Times New Roman" w:hAnsi="Times New Roman" w:cs="Times New Roman"/>
          <w:sz w:val="24"/>
          <w:szCs w:val="24"/>
          <w:highlight w:val="white"/>
        </w:rPr>
        <w:t>Pursey</w:t>
      </w:r>
      <w:proofErr w:type="spellEnd"/>
      <w:r w:rsidRPr="00A03CB5">
        <w:rPr>
          <w:rFonts w:ascii="Times New Roman" w:eastAsia="Times New Roman" w:hAnsi="Times New Roman" w:cs="Times New Roman"/>
          <w:sz w:val="24"/>
          <w:szCs w:val="24"/>
          <w:highlight w:val="white"/>
        </w:rPr>
        <w:t xml:space="preserve"> et al., 2014</w:t>
      </w:r>
      <w:r w:rsidRPr="00A03CB5">
        <w:rPr>
          <w:rFonts w:ascii="Times New Roman" w:eastAsia="Times New Roman" w:hAnsi="Times New Roman" w:cs="Times New Roman"/>
          <w:sz w:val="24"/>
          <w:szCs w:val="24"/>
        </w:rPr>
        <w:t xml:space="preserve">). </w:t>
      </w:r>
    </w:p>
    <w:p w14:paraId="2C0EB4BF" w14:textId="77777777" w:rsidR="006E4B3A" w:rsidRPr="00A03CB5" w:rsidRDefault="006E4B3A">
      <w:pPr>
        <w:spacing w:line="240" w:lineRule="auto"/>
        <w:ind w:left="1440"/>
        <w:jc w:val="both"/>
        <w:rPr>
          <w:rFonts w:ascii="Times New Roman" w:eastAsia="Times New Roman" w:hAnsi="Times New Roman" w:cs="Times New Roman"/>
          <w:sz w:val="24"/>
          <w:szCs w:val="24"/>
        </w:rPr>
      </w:pPr>
    </w:p>
    <w:p w14:paraId="4B38C03A" w14:textId="77777777" w:rsidR="006E4B3A" w:rsidRPr="00A03CB5" w:rsidRDefault="00000000">
      <w:pPr>
        <w:numPr>
          <w:ilvl w:val="0"/>
          <w:numId w:val="9"/>
        </w:num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Lower risk group (n=51): Individuals in the “lower risk” group were required to demonstrate a lack of the </w:t>
      </w:r>
      <w:proofErr w:type="gramStart"/>
      <w:r w:rsidRPr="00A03CB5">
        <w:rPr>
          <w:rFonts w:ascii="Times New Roman" w:eastAsia="Times New Roman" w:hAnsi="Times New Roman" w:cs="Times New Roman"/>
          <w:sz w:val="24"/>
          <w:szCs w:val="24"/>
        </w:rPr>
        <w:t>aforementioned FA</w:t>
      </w:r>
      <w:proofErr w:type="gramEnd"/>
      <w:r w:rsidRPr="00A03CB5">
        <w:rPr>
          <w:rFonts w:ascii="Times New Roman" w:eastAsia="Times New Roman" w:hAnsi="Times New Roman" w:cs="Times New Roman"/>
          <w:sz w:val="24"/>
          <w:szCs w:val="24"/>
        </w:rPr>
        <w:t xml:space="preserve"> and BSED criteria and risk elevations, as well as a lack of lifetime eating disorder diagnoses. </w:t>
      </w:r>
    </w:p>
    <w:p w14:paraId="6DAA64DE" w14:textId="77777777" w:rsidR="000311C3" w:rsidRPr="00A03CB5" w:rsidRDefault="000311C3">
      <w:pPr>
        <w:spacing w:line="240" w:lineRule="auto"/>
        <w:jc w:val="both"/>
        <w:rPr>
          <w:rFonts w:ascii="Times New Roman" w:eastAsia="Times New Roman" w:hAnsi="Times New Roman" w:cs="Times New Roman"/>
          <w:sz w:val="24"/>
          <w:szCs w:val="24"/>
        </w:rPr>
      </w:pPr>
    </w:p>
    <w:p w14:paraId="5B335DCA" w14:textId="349906E6" w:rsidR="006E4B3A" w:rsidRPr="00A03CB5" w:rsidRDefault="000311C3" w:rsidP="000311C3">
      <w:pPr>
        <w:spacing w:line="240" w:lineRule="auto"/>
        <w:ind w:firstLine="36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Power analyses for this study were conducted to examine longitudinal models of predictors of food addiction over time using an a-priori sample size calculator. Analyses were run based on longitudinal models assuming a small to medium effect size (f2=.10), 80% power (beta=.80), alpha=.05, and up to 5 predictor variables. Based on power analyses, a final sample of </w:t>
      </w:r>
      <w:r w:rsidRPr="00A03CB5">
        <w:rPr>
          <w:rFonts w:ascii="Times New Roman" w:eastAsia="Times New Roman" w:hAnsi="Times New Roman" w:cs="Times New Roman"/>
          <w:i/>
          <w:iCs/>
          <w:sz w:val="24"/>
          <w:szCs w:val="24"/>
        </w:rPr>
        <w:t>N</w:t>
      </w:r>
      <w:r w:rsidRPr="00A03CB5">
        <w:rPr>
          <w:rFonts w:ascii="Times New Roman" w:eastAsia="Times New Roman" w:hAnsi="Times New Roman" w:cs="Times New Roman"/>
          <w:sz w:val="24"/>
          <w:szCs w:val="24"/>
        </w:rPr>
        <w:t xml:space="preserve">=132 with complete longitudinal data will provide .80 power to detect longitudinal associations. </w:t>
      </w:r>
      <w:proofErr w:type="gramStart"/>
      <w:r w:rsidRPr="00A03CB5">
        <w:rPr>
          <w:rFonts w:ascii="Times New Roman" w:eastAsia="Times New Roman" w:hAnsi="Times New Roman" w:cs="Times New Roman"/>
          <w:sz w:val="24"/>
          <w:szCs w:val="24"/>
        </w:rPr>
        <w:t>We  therefore</w:t>
      </w:r>
      <w:proofErr w:type="gramEnd"/>
      <w:r w:rsidRPr="00A03CB5">
        <w:rPr>
          <w:rFonts w:ascii="Times New Roman" w:eastAsia="Times New Roman" w:hAnsi="Times New Roman" w:cs="Times New Roman"/>
          <w:sz w:val="24"/>
          <w:szCs w:val="24"/>
        </w:rPr>
        <w:t xml:space="preserve"> recruited 150 participants at baseline to account for attrition.</w:t>
      </w:r>
    </w:p>
    <w:p w14:paraId="58BCB6E1" w14:textId="77777777" w:rsidR="000311C3" w:rsidRPr="00A03CB5" w:rsidRDefault="000311C3">
      <w:pPr>
        <w:spacing w:line="240" w:lineRule="auto"/>
        <w:jc w:val="both"/>
        <w:rPr>
          <w:rFonts w:ascii="Times New Roman" w:eastAsia="Times New Roman" w:hAnsi="Times New Roman" w:cs="Times New Roman"/>
          <w:sz w:val="24"/>
          <w:szCs w:val="24"/>
        </w:rPr>
      </w:pPr>
    </w:p>
    <w:p w14:paraId="5CA1FDBA" w14:textId="77777777" w:rsidR="006E4B3A" w:rsidRPr="00A03CB5" w:rsidRDefault="00000000">
      <w:pPr>
        <w:spacing w:line="240" w:lineRule="auto"/>
        <w:jc w:val="both"/>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t xml:space="preserve">2.2. Procedure </w:t>
      </w:r>
    </w:p>
    <w:p w14:paraId="4D8F9F43" w14:textId="77777777"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The screening and data collection were administered via </w:t>
      </w:r>
      <w:proofErr w:type="spellStart"/>
      <w:r w:rsidRPr="00A03CB5">
        <w:rPr>
          <w:rFonts w:ascii="Times New Roman" w:eastAsia="Times New Roman" w:hAnsi="Times New Roman" w:cs="Times New Roman"/>
          <w:sz w:val="24"/>
          <w:szCs w:val="24"/>
        </w:rPr>
        <w:t>REDCap</w:t>
      </w:r>
      <w:proofErr w:type="spellEnd"/>
      <w:r w:rsidRPr="00A03CB5">
        <w:rPr>
          <w:rFonts w:ascii="Times New Roman" w:eastAsia="Times New Roman" w:hAnsi="Times New Roman" w:cs="Times New Roman"/>
          <w:sz w:val="24"/>
          <w:szCs w:val="24"/>
        </w:rPr>
        <w:t xml:space="preserve">, a software tool for creating and implementing secure online surveys that is available to USC faculty and students. The link on advertisements and in recruitment emails prompted participants to first complete a preliminary eligibility screener that was assessed for the inclusion/exclusion criteria. Quality control measures were taken to prevent bots and/or scam responses (e.g., CAPTCHA, hidden items, identification of duplicate IP addresses). If participants met eligibility criteria based on the screener, they were emailed by </w:t>
      </w:r>
      <w:proofErr w:type="gramStart"/>
      <w:r w:rsidRPr="00A03CB5">
        <w:rPr>
          <w:rFonts w:ascii="Times New Roman" w:eastAsia="Times New Roman" w:hAnsi="Times New Roman" w:cs="Times New Roman"/>
          <w:sz w:val="24"/>
          <w:szCs w:val="24"/>
        </w:rPr>
        <w:t>researchers  and</w:t>
      </w:r>
      <w:proofErr w:type="gramEnd"/>
      <w:r w:rsidRPr="00A03CB5">
        <w:rPr>
          <w:rFonts w:ascii="Times New Roman" w:eastAsia="Times New Roman" w:hAnsi="Times New Roman" w:cs="Times New Roman"/>
          <w:sz w:val="24"/>
          <w:szCs w:val="24"/>
        </w:rPr>
        <w:t xml:space="preserve"> invited to read and complete the online informed consent form via </w:t>
      </w:r>
      <w:proofErr w:type="spellStart"/>
      <w:r w:rsidRPr="00A03CB5">
        <w:rPr>
          <w:rFonts w:ascii="Times New Roman" w:eastAsia="Times New Roman" w:hAnsi="Times New Roman" w:cs="Times New Roman"/>
          <w:sz w:val="24"/>
          <w:szCs w:val="24"/>
        </w:rPr>
        <w:t>REDCap</w:t>
      </w:r>
      <w:proofErr w:type="spellEnd"/>
      <w:r w:rsidRPr="00A03CB5">
        <w:rPr>
          <w:rFonts w:ascii="Times New Roman" w:eastAsia="Times New Roman" w:hAnsi="Times New Roman" w:cs="Times New Roman"/>
          <w:sz w:val="24"/>
          <w:szCs w:val="24"/>
        </w:rPr>
        <w:t xml:space="preserve">, in accordance with University of Southern California </w:t>
      </w:r>
      <w:r w:rsidRPr="00A03CB5">
        <w:rPr>
          <w:rFonts w:ascii="Times New Roman" w:eastAsia="Times New Roman" w:hAnsi="Times New Roman" w:cs="Times New Roman"/>
          <w:color w:val="1F1E18"/>
          <w:sz w:val="24"/>
          <w:szCs w:val="24"/>
        </w:rPr>
        <w:t xml:space="preserve">IRB </w:t>
      </w:r>
      <w:r w:rsidRPr="00A03CB5">
        <w:rPr>
          <w:rFonts w:ascii="Times New Roman" w:eastAsia="Times New Roman" w:hAnsi="Times New Roman" w:cs="Times New Roman"/>
          <w:sz w:val="24"/>
          <w:szCs w:val="24"/>
        </w:rPr>
        <w:t xml:space="preserve">e-Consent guidelines. If they consented to participate, they proceeded in participating with the study protocol. </w:t>
      </w:r>
    </w:p>
    <w:p w14:paraId="19DDAD40" w14:textId="77777777"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The study protocol included bi-monthly online surveys (baseline, 3-month, and 6-month follow-ups). The baseline survey was administered on </w:t>
      </w:r>
      <w:proofErr w:type="spellStart"/>
      <w:r w:rsidRPr="00A03CB5">
        <w:rPr>
          <w:rFonts w:ascii="Times New Roman" w:eastAsia="Times New Roman" w:hAnsi="Times New Roman" w:cs="Times New Roman"/>
          <w:sz w:val="24"/>
          <w:szCs w:val="24"/>
        </w:rPr>
        <w:t>REDCap</w:t>
      </w:r>
      <w:proofErr w:type="spellEnd"/>
      <w:r w:rsidRPr="00A03CB5">
        <w:rPr>
          <w:rFonts w:ascii="Times New Roman" w:eastAsia="Times New Roman" w:hAnsi="Times New Roman" w:cs="Times New Roman"/>
          <w:sz w:val="24"/>
          <w:szCs w:val="24"/>
        </w:rPr>
        <w:t xml:space="preserve"> immediately following the e-</w:t>
      </w:r>
      <w:r w:rsidRPr="00A03CB5">
        <w:rPr>
          <w:rFonts w:ascii="Times New Roman" w:eastAsia="Times New Roman" w:hAnsi="Times New Roman" w:cs="Times New Roman"/>
          <w:sz w:val="24"/>
          <w:szCs w:val="24"/>
        </w:rPr>
        <w:lastRenderedPageBreak/>
        <w:t xml:space="preserve">Consent. Follow-up surveys were sent automatically to enrolled participants using the automated survey function in </w:t>
      </w:r>
      <w:proofErr w:type="spellStart"/>
      <w:r w:rsidRPr="00A03CB5">
        <w:rPr>
          <w:rFonts w:ascii="Times New Roman" w:eastAsia="Times New Roman" w:hAnsi="Times New Roman" w:cs="Times New Roman"/>
          <w:sz w:val="24"/>
          <w:szCs w:val="24"/>
        </w:rPr>
        <w:t>REDCap</w:t>
      </w:r>
      <w:proofErr w:type="spellEnd"/>
      <w:r w:rsidRPr="00A03CB5">
        <w:rPr>
          <w:rFonts w:ascii="Times New Roman" w:eastAsia="Times New Roman" w:hAnsi="Times New Roman" w:cs="Times New Roman"/>
          <w:sz w:val="24"/>
          <w:szCs w:val="24"/>
        </w:rPr>
        <w:t>, with up to 2 reminder emails sent for each time point. Time-invariant constructs were assessed only at baseline (i.e., demographics/home location, childhood history of weight-related teasing, and adverse childhood experiences). When indicated, questionnaire instructions at follow-ups were adjusted to reflect the prior 3-month interval. Participants received compensation as an Amazon gift card ($15 per completed assessment) in addition to a potential $15 bonus for completing all 4 assessments (i.e., $60 for completing the entire protocol). All participants were emailed a mental health resources sheet.</w:t>
      </w:r>
    </w:p>
    <w:p w14:paraId="684C36E8" w14:textId="77777777" w:rsidR="006E4B3A" w:rsidRPr="00A03CB5" w:rsidRDefault="006E4B3A">
      <w:pPr>
        <w:spacing w:line="240" w:lineRule="auto"/>
        <w:jc w:val="both"/>
        <w:rPr>
          <w:rFonts w:ascii="Times New Roman" w:eastAsia="Times New Roman" w:hAnsi="Times New Roman" w:cs="Times New Roman"/>
          <w:sz w:val="24"/>
          <w:szCs w:val="24"/>
        </w:rPr>
      </w:pPr>
    </w:p>
    <w:p w14:paraId="4EE34722" w14:textId="77777777" w:rsidR="006E4B3A" w:rsidRPr="00A03CB5" w:rsidRDefault="00000000">
      <w:pPr>
        <w:spacing w:line="240" w:lineRule="auto"/>
        <w:jc w:val="both"/>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t>2.3. Measures</w:t>
      </w:r>
    </w:p>
    <w:p w14:paraId="39372D2B" w14:textId="77777777" w:rsidR="000311C3"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2.3.1. Screening Questionnaire. </w:t>
      </w:r>
    </w:p>
    <w:p w14:paraId="002CCFED" w14:textId="7511715F"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The screening questionnaire included items to assess eligibility criteria (Table 1), as well as the Modified Yale Food Addiction Scale, Eating Disorder Diagnostic Scale, and the Eating Disorder Examination Questionnaire 8. </w:t>
      </w:r>
    </w:p>
    <w:p w14:paraId="52317224" w14:textId="77777777" w:rsidR="006E4B3A" w:rsidRPr="00A03CB5" w:rsidRDefault="006E4B3A">
      <w:pPr>
        <w:spacing w:line="240" w:lineRule="auto"/>
        <w:ind w:firstLine="720"/>
        <w:jc w:val="both"/>
        <w:rPr>
          <w:rFonts w:ascii="Times New Roman" w:eastAsia="Times New Roman" w:hAnsi="Times New Roman" w:cs="Times New Roman"/>
          <w:sz w:val="24"/>
          <w:szCs w:val="24"/>
        </w:rPr>
      </w:pPr>
    </w:p>
    <w:p w14:paraId="4DF4AE03" w14:textId="77777777" w:rsidR="006E4B3A" w:rsidRPr="00A03CB5" w:rsidRDefault="00000000">
      <w:pPr>
        <w:spacing w:line="240" w:lineRule="auto"/>
        <w:ind w:firstLine="720"/>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2.3.2. Modified Yale Food Addiction Scale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2.0; </w:t>
      </w:r>
      <w:r w:rsidRPr="00A03CB5">
        <w:rPr>
          <w:rFonts w:ascii="Times New Roman" w:eastAsia="Times New Roman" w:hAnsi="Times New Roman" w:cs="Times New Roman"/>
          <w:sz w:val="24"/>
          <w:szCs w:val="24"/>
          <w:highlight w:val="white"/>
        </w:rPr>
        <w:t xml:space="preserve">Schulte &amp; </w:t>
      </w:r>
      <w:proofErr w:type="spellStart"/>
      <w:r w:rsidRPr="00A03CB5">
        <w:rPr>
          <w:rFonts w:ascii="Times New Roman" w:eastAsia="Times New Roman" w:hAnsi="Times New Roman" w:cs="Times New Roman"/>
          <w:sz w:val="24"/>
          <w:szCs w:val="24"/>
          <w:highlight w:val="white"/>
        </w:rPr>
        <w:t>Gearhardt</w:t>
      </w:r>
      <w:proofErr w:type="spellEnd"/>
      <w:r w:rsidRPr="00A03CB5">
        <w:rPr>
          <w:rFonts w:ascii="Times New Roman" w:eastAsia="Times New Roman" w:hAnsi="Times New Roman" w:cs="Times New Roman"/>
          <w:sz w:val="24"/>
          <w:szCs w:val="24"/>
          <w:highlight w:val="white"/>
        </w:rPr>
        <w:t>, 2017</w:t>
      </w:r>
      <w:r w:rsidRPr="00A03CB5">
        <w:rPr>
          <w:rFonts w:ascii="Times New Roman" w:eastAsia="Times New Roman" w:hAnsi="Times New Roman" w:cs="Times New Roman"/>
          <w:sz w:val="24"/>
          <w:szCs w:val="24"/>
        </w:rPr>
        <w:t xml:space="preserve">). The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is a 13-tem self-report assessment of FA adapted from the original YFAS, which was developed to parallel the diagnostic criteria for DSM-5 substance-use disorders. The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w:t>
      </w:r>
      <w:r w:rsidRPr="00A03CB5">
        <w:rPr>
          <w:rFonts w:ascii="Times New Roman" w:eastAsia="Times New Roman" w:hAnsi="Times New Roman" w:cs="Times New Roman"/>
          <w:sz w:val="24"/>
          <w:szCs w:val="24"/>
          <w:highlight w:val="white"/>
        </w:rPr>
        <w:t>includes 1 question to assess each of the 11 DSM-5 diagnostic criteria, plus 2 questions to assess clinically significant distress and impairment</w:t>
      </w:r>
      <w:r w:rsidRPr="00A03CB5">
        <w:rPr>
          <w:rFonts w:ascii="Times New Roman" w:eastAsia="Times New Roman" w:hAnsi="Times New Roman" w:cs="Times New Roman"/>
          <w:sz w:val="24"/>
          <w:szCs w:val="24"/>
        </w:rPr>
        <w:t xml:space="preserve">. Each item has a different frequency threshold to be scored as a symptom; the number of endorsed symptoms </w:t>
      </w:r>
      <w:proofErr w:type="gramStart"/>
      <w:r w:rsidRPr="00A03CB5">
        <w:rPr>
          <w:rFonts w:ascii="Times New Roman" w:eastAsia="Times New Roman" w:hAnsi="Times New Roman" w:cs="Times New Roman"/>
          <w:sz w:val="24"/>
          <w:szCs w:val="24"/>
        </w:rPr>
        <w:t>are</w:t>
      </w:r>
      <w:proofErr w:type="gramEnd"/>
      <w:r w:rsidRPr="00A03CB5">
        <w:rPr>
          <w:rFonts w:ascii="Times New Roman" w:eastAsia="Times New Roman" w:hAnsi="Times New Roman" w:cs="Times New Roman"/>
          <w:sz w:val="24"/>
          <w:szCs w:val="24"/>
        </w:rPr>
        <w:t xml:space="preserve"> then summed to yield a total symptom count. In addition, a FA “diagnosis” is made if 2 or more symptoms are endorsed, plus clinically significant impairment or distress. The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was administered at screening and at each assessment. </w:t>
      </w:r>
    </w:p>
    <w:p w14:paraId="3EC496A3" w14:textId="77777777" w:rsidR="006E4B3A" w:rsidRPr="00A03CB5" w:rsidRDefault="006E4B3A">
      <w:pPr>
        <w:spacing w:line="240" w:lineRule="auto"/>
        <w:ind w:firstLine="720"/>
        <w:rPr>
          <w:rFonts w:ascii="Times New Roman" w:eastAsia="Times New Roman" w:hAnsi="Times New Roman" w:cs="Times New Roman"/>
          <w:sz w:val="24"/>
          <w:szCs w:val="24"/>
        </w:rPr>
      </w:pPr>
    </w:p>
    <w:p w14:paraId="5B0F4D33" w14:textId="77777777" w:rsidR="000311C3"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2.3.3. Eating Disorder Diagnostic Scale (EDDS-5). </w:t>
      </w:r>
    </w:p>
    <w:p w14:paraId="16D3B41F" w14:textId="138B1E1F"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The EDDS-5 is an updated version of the original EDDS (</w:t>
      </w:r>
      <w:proofErr w:type="spellStart"/>
      <w:r w:rsidRPr="00A03CB5">
        <w:rPr>
          <w:rFonts w:ascii="Times New Roman" w:eastAsia="Times New Roman" w:hAnsi="Times New Roman" w:cs="Times New Roman"/>
          <w:sz w:val="24"/>
          <w:szCs w:val="24"/>
        </w:rPr>
        <w:t>Stice</w:t>
      </w:r>
      <w:proofErr w:type="spellEnd"/>
      <w:r w:rsidRPr="00A03CB5">
        <w:rPr>
          <w:rFonts w:ascii="Times New Roman" w:eastAsia="Times New Roman" w:hAnsi="Times New Roman" w:cs="Times New Roman"/>
          <w:sz w:val="24"/>
          <w:szCs w:val="24"/>
        </w:rPr>
        <w:t xml:space="preserve">, </w:t>
      </w:r>
      <w:proofErr w:type="spellStart"/>
      <w:r w:rsidRPr="00A03CB5">
        <w:rPr>
          <w:rFonts w:ascii="Times New Roman" w:eastAsia="Times New Roman" w:hAnsi="Times New Roman" w:cs="Times New Roman"/>
          <w:sz w:val="24"/>
          <w:szCs w:val="24"/>
        </w:rPr>
        <w:t>Telch</w:t>
      </w:r>
      <w:proofErr w:type="spellEnd"/>
      <w:r w:rsidRPr="00A03CB5">
        <w:rPr>
          <w:rFonts w:ascii="Times New Roman" w:eastAsia="Times New Roman" w:hAnsi="Times New Roman" w:cs="Times New Roman"/>
          <w:sz w:val="24"/>
          <w:szCs w:val="24"/>
        </w:rPr>
        <w:t>, &amp; Rizvi, 2000) for DSM-5 (</w:t>
      </w:r>
      <w:hyperlink r:id="rId8">
        <w:r w:rsidR="006E4B3A" w:rsidRPr="00A03CB5">
          <w:rPr>
            <w:rFonts w:ascii="Times New Roman" w:eastAsia="Times New Roman" w:hAnsi="Times New Roman" w:cs="Times New Roman"/>
            <w:sz w:val="24"/>
            <w:szCs w:val="24"/>
            <w:u w:val="single"/>
          </w:rPr>
          <w:t>https://www.ori.org/sticemeasures</w:t>
        </w:r>
      </w:hyperlink>
      <w:r w:rsidRPr="00A03CB5">
        <w:rPr>
          <w:rFonts w:ascii="Times New Roman" w:eastAsia="Times New Roman" w:hAnsi="Times New Roman" w:cs="Times New Roman"/>
          <w:sz w:val="24"/>
          <w:szCs w:val="24"/>
        </w:rPr>
        <w:t>). The EDDS-5 is a self-report measure of eating disorder symptoms, including binge-eating frequency as well as probable DSM-5 eating disorders, including threshold and subthreshold diagnoses. Prior research has shown excellent agreement with interview-based diagnoses. The EDDS-5 was administered at screening and at each assessment and was used as a measure of probable diagnoses as well as binge-eating frequency.</w:t>
      </w:r>
    </w:p>
    <w:p w14:paraId="52B1D8FC" w14:textId="77777777" w:rsidR="006E4B3A" w:rsidRPr="00A03CB5" w:rsidRDefault="006E4B3A">
      <w:pPr>
        <w:spacing w:line="240" w:lineRule="auto"/>
        <w:ind w:firstLine="720"/>
        <w:jc w:val="both"/>
        <w:rPr>
          <w:rFonts w:ascii="Times New Roman" w:eastAsia="Times New Roman" w:hAnsi="Times New Roman" w:cs="Times New Roman"/>
          <w:sz w:val="24"/>
          <w:szCs w:val="24"/>
          <w:u w:val="single"/>
        </w:rPr>
      </w:pPr>
    </w:p>
    <w:p w14:paraId="54A9DCDE" w14:textId="77777777" w:rsidR="000311C3"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2.3.4. Eating Disorder Examination Questionnaire 8 (EDE-Q8; </w:t>
      </w:r>
      <w:proofErr w:type="spellStart"/>
      <w:r w:rsidRPr="00A03CB5">
        <w:rPr>
          <w:rFonts w:ascii="Times New Roman" w:eastAsia="Times New Roman" w:hAnsi="Times New Roman" w:cs="Times New Roman"/>
          <w:sz w:val="24"/>
          <w:szCs w:val="24"/>
        </w:rPr>
        <w:t>Kliem</w:t>
      </w:r>
      <w:proofErr w:type="spellEnd"/>
      <w:r w:rsidRPr="00A03CB5">
        <w:rPr>
          <w:rFonts w:ascii="Times New Roman" w:eastAsia="Times New Roman" w:hAnsi="Times New Roman" w:cs="Times New Roman"/>
          <w:sz w:val="24"/>
          <w:szCs w:val="24"/>
        </w:rPr>
        <w:t xml:space="preserve"> et al., 2016). </w:t>
      </w:r>
    </w:p>
    <w:p w14:paraId="0BDE1F94" w14:textId="12D01B09"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The EDE-Q8 is an 8-item measure of eating, shape, and weight concerns over the last 28 days, which was adapted and abbreviated from the </w:t>
      </w:r>
      <w:proofErr w:type="gramStart"/>
      <w:r w:rsidRPr="00A03CB5">
        <w:rPr>
          <w:rFonts w:ascii="Times New Roman" w:eastAsia="Times New Roman" w:hAnsi="Times New Roman" w:cs="Times New Roman"/>
          <w:sz w:val="24"/>
          <w:szCs w:val="24"/>
        </w:rPr>
        <w:t>widely-used</w:t>
      </w:r>
      <w:proofErr w:type="gramEnd"/>
      <w:r w:rsidRPr="00A03CB5">
        <w:rPr>
          <w:rFonts w:ascii="Times New Roman" w:eastAsia="Times New Roman" w:hAnsi="Times New Roman" w:cs="Times New Roman"/>
          <w:sz w:val="24"/>
          <w:szCs w:val="24"/>
        </w:rPr>
        <w:t xml:space="preserve"> EDE-Q. Item responses range from 0-6, which are averaged </w:t>
      </w:r>
      <w:r w:rsidRPr="00A03CB5">
        <w:rPr>
          <w:rFonts w:ascii="Times New Roman" w:eastAsia="Times New Roman" w:hAnsi="Times New Roman" w:cs="Times New Roman"/>
          <w:sz w:val="24"/>
          <w:szCs w:val="24"/>
          <w:shd w:val="clear" w:color="auto" w:fill="FCFCFC"/>
        </w:rPr>
        <w:t xml:space="preserve">to create a global score </w:t>
      </w:r>
      <w:r w:rsidRPr="00A03CB5">
        <w:rPr>
          <w:rFonts w:ascii="Times New Roman" w:eastAsia="Times New Roman" w:hAnsi="Times New Roman" w:cs="Times New Roman"/>
          <w:sz w:val="24"/>
          <w:szCs w:val="24"/>
        </w:rPr>
        <w:t>(</w:t>
      </w:r>
      <w:proofErr w:type="spellStart"/>
      <w:r w:rsidRPr="00A03CB5">
        <w:rPr>
          <w:rFonts w:ascii="Times New Roman" w:eastAsia="Times New Roman" w:hAnsi="Times New Roman" w:cs="Times New Roman"/>
          <w:sz w:val="24"/>
          <w:szCs w:val="24"/>
        </w:rPr>
        <w:t>Kliem</w:t>
      </w:r>
      <w:proofErr w:type="spellEnd"/>
      <w:r w:rsidRPr="00A03CB5">
        <w:rPr>
          <w:rFonts w:ascii="Times New Roman" w:eastAsia="Times New Roman" w:hAnsi="Times New Roman" w:cs="Times New Roman"/>
          <w:sz w:val="24"/>
          <w:szCs w:val="24"/>
        </w:rPr>
        <w:t xml:space="preserve"> et al., 2016). The EDE-Q8 was administered at screening and at each assessment.</w:t>
      </w:r>
    </w:p>
    <w:p w14:paraId="636E370C" w14:textId="77777777" w:rsidR="006E4B3A" w:rsidRPr="00A03CB5" w:rsidRDefault="006E4B3A">
      <w:pPr>
        <w:spacing w:line="240" w:lineRule="auto"/>
        <w:jc w:val="both"/>
        <w:rPr>
          <w:rFonts w:ascii="Times New Roman" w:eastAsia="Times New Roman" w:hAnsi="Times New Roman" w:cs="Times New Roman"/>
          <w:sz w:val="24"/>
          <w:szCs w:val="24"/>
        </w:rPr>
      </w:pPr>
    </w:p>
    <w:p w14:paraId="648664A6" w14:textId="77777777" w:rsidR="000311C3"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2.3.5. Demographics. </w:t>
      </w:r>
    </w:p>
    <w:p w14:paraId="1642AFBD" w14:textId="741F016B"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A questionnaire assessed demographic information at the baseline assessment (e.g., race and ethnicity, socioeconomic status, home address).</w:t>
      </w:r>
    </w:p>
    <w:p w14:paraId="175C9A1D" w14:textId="77777777" w:rsidR="006E4B3A" w:rsidRPr="00A03CB5" w:rsidRDefault="006E4B3A">
      <w:pPr>
        <w:spacing w:line="240" w:lineRule="auto"/>
        <w:jc w:val="both"/>
        <w:rPr>
          <w:rFonts w:ascii="Times New Roman" w:eastAsia="Times New Roman" w:hAnsi="Times New Roman" w:cs="Times New Roman"/>
          <w:sz w:val="24"/>
          <w:szCs w:val="24"/>
        </w:rPr>
      </w:pPr>
    </w:p>
    <w:p w14:paraId="603F369D" w14:textId="77777777" w:rsidR="000311C3"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2.3.6. Body Mass Index (BMI). </w:t>
      </w:r>
    </w:p>
    <w:p w14:paraId="569103B4" w14:textId="70935C0C" w:rsidR="006E4B3A" w:rsidRPr="00A03CB5" w:rsidRDefault="00000000">
      <w:pPr>
        <w:spacing w:line="240" w:lineRule="auto"/>
        <w:ind w:firstLine="720"/>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Participants self-reported height (at screening) and weight (at screening and all other assessments) to assess BMI, which was calculated as: weight (</w:t>
      </w:r>
      <w:proofErr w:type="spellStart"/>
      <w:r w:rsidRPr="00A03CB5">
        <w:rPr>
          <w:rFonts w:ascii="Times New Roman" w:eastAsia="Times New Roman" w:hAnsi="Times New Roman" w:cs="Times New Roman"/>
          <w:sz w:val="24"/>
          <w:szCs w:val="24"/>
        </w:rPr>
        <w:t>lb</w:t>
      </w:r>
      <w:proofErr w:type="spellEnd"/>
      <w:r w:rsidRPr="00A03CB5">
        <w:rPr>
          <w:rFonts w:ascii="Times New Roman" w:eastAsia="Times New Roman" w:hAnsi="Times New Roman" w:cs="Times New Roman"/>
          <w:sz w:val="24"/>
          <w:szCs w:val="24"/>
        </w:rPr>
        <w:t>)/height (in)</w:t>
      </w:r>
      <w:r w:rsidRPr="00A03CB5">
        <w:rPr>
          <w:rFonts w:ascii="Times New Roman" w:eastAsia="Times New Roman" w:hAnsi="Times New Roman" w:cs="Times New Roman"/>
          <w:sz w:val="24"/>
          <w:szCs w:val="24"/>
          <w:vertAlign w:val="superscript"/>
        </w:rPr>
        <w:t>2</w:t>
      </w:r>
      <w:r w:rsidRPr="00A03CB5">
        <w:rPr>
          <w:rFonts w:ascii="Times New Roman" w:eastAsia="Times New Roman" w:hAnsi="Times New Roman" w:cs="Times New Roman"/>
          <w:sz w:val="24"/>
          <w:szCs w:val="24"/>
        </w:rPr>
        <w:t xml:space="preserve"> x 703. </w:t>
      </w:r>
    </w:p>
    <w:p w14:paraId="144800F0" w14:textId="77777777" w:rsidR="006E4B3A" w:rsidRPr="00A03CB5" w:rsidRDefault="006E4B3A">
      <w:pPr>
        <w:spacing w:line="240" w:lineRule="auto"/>
        <w:ind w:firstLine="720"/>
        <w:rPr>
          <w:rFonts w:ascii="Times New Roman" w:eastAsia="Times New Roman" w:hAnsi="Times New Roman" w:cs="Times New Roman"/>
          <w:sz w:val="24"/>
          <w:szCs w:val="24"/>
        </w:rPr>
      </w:pPr>
    </w:p>
    <w:p w14:paraId="52325929" w14:textId="77777777" w:rsidR="000311C3" w:rsidRPr="00A03CB5" w:rsidRDefault="00000000">
      <w:pPr>
        <w:spacing w:line="240" w:lineRule="auto"/>
        <w:ind w:firstLine="720"/>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2.3.7. Short Screening Questionnaire of Highly Processed Food Consumption (</w:t>
      </w:r>
      <w:proofErr w:type="spellStart"/>
      <w:r w:rsidRPr="00A03CB5">
        <w:rPr>
          <w:rFonts w:ascii="Times New Roman" w:eastAsia="Times New Roman" w:hAnsi="Times New Roman" w:cs="Times New Roman"/>
          <w:sz w:val="24"/>
          <w:szCs w:val="24"/>
        </w:rPr>
        <w:t>sQ</w:t>
      </w:r>
      <w:proofErr w:type="spellEnd"/>
      <w:r w:rsidRPr="00A03CB5">
        <w:rPr>
          <w:rFonts w:ascii="Times New Roman" w:eastAsia="Times New Roman" w:hAnsi="Times New Roman" w:cs="Times New Roman"/>
          <w:sz w:val="24"/>
          <w:szCs w:val="24"/>
        </w:rPr>
        <w:t xml:space="preserve">-HPF; Martinez-Perez et al., 2022). </w:t>
      </w:r>
    </w:p>
    <w:p w14:paraId="2958A3EC" w14:textId="5AE9B0D9" w:rsidR="006E4B3A" w:rsidRPr="00A03CB5" w:rsidRDefault="00000000">
      <w:pPr>
        <w:spacing w:line="240" w:lineRule="auto"/>
        <w:ind w:firstLine="720"/>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The </w:t>
      </w:r>
      <w:proofErr w:type="spellStart"/>
      <w:r w:rsidRPr="00A03CB5">
        <w:rPr>
          <w:rFonts w:ascii="Times New Roman" w:eastAsia="Times New Roman" w:hAnsi="Times New Roman" w:cs="Times New Roman"/>
          <w:sz w:val="24"/>
          <w:szCs w:val="24"/>
        </w:rPr>
        <w:t>sQ</w:t>
      </w:r>
      <w:proofErr w:type="spellEnd"/>
      <w:r w:rsidRPr="00A03CB5">
        <w:rPr>
          <w:rFonts w:ascii="Times New Roman" w:eastAsia="Times New Roman" w:hAnsi="Times New Roman" w:cs="Times New Roman"/>
          <w:sz w:val="24"/>
          <w:szCs w:val="24"/>
        </w:rPr>
        <w:t xml:space="preserve">-HPF is a 14-item measure that </w:t>
      </w:r>
      <w:r w:rsidRPr="00A03CB5">
        <w:rPr>
          <w:rFonts w:ascii="Times New Roman" w:eastAsia="Times New Roman" w:hAnsi="Times New Roman" w:cs="Times New Roman"/>
          <w:sz w:val="24"/>
          <w:szCs w:val="24"/>
          <w:shd w:val="clear" w:color="auto" w:fill="FCFCFC"/>
        </w:rPr>
        <w:t>integrates criteria from existing food classification systems to estimate highly processed food consumption. Items assess frequency of consumption of 14 food and beverage categories over the past year; for the purposes of the present study, instructions were modified to assess frequency over the past 3 months. Each category is scored as 1 if the frequency meets established thresholds, and as 0 otherwise.</w:t>
      </w:r>
      <w:r w:rsidRPr="00A03CB5">
        <w:rPr>
          <w:rFonts w:ascii="Times New Roman" w:eastAsia="Times New Roman" w:hAnsi="Times New Roman" w:cs="Times New Roman"/>
          <w:sz w:val="24"/>
          <w:szCs w:val="24"/>
        </w:rPr>
        <w:t xml:space="preserve"> The total </w:t>
      </w:r>
      <w:proofErr w:type="spellStart"/>
      <w:r w:rsidRPr="00A03CB5">
        <w:rPr>
          <w:rFonts w:ascii="Times New Roman" w:eastAsia="Times New Roman" w:hAnsi="Times New Roman" w:cs="Times New Roman"/>
          <w:sz w:val="24"/>
          <w:szCs w:val="24"/>
          <w:shd w:val="clear" w:color="auto" w:fill="FCFCFC"/>
        </w:rPr>
        <w:t>sQ</w:t>
      </w:r>
      <w:proofErr w:type="spellEnd"/>
      <w:r w:rsidRPr="00A03CB5">
        <w:rPr>
          <w:rFonts w:ascii="Times New Roman" w:eastAsia="Times New Roman" w:hAnsi="Times New Roman" w:cs="Times New Roman"/>
          <w:sz w:val="24"/>
          <w:szCs w:val="24"/>
          <w:shd w:val="clear" w:color="auto" w:fill="FCFCFC"/>
        </w:rPr>
        <w:t xml:space="preserve">-HPF score provides the estimated percentage of highly processed food consumption over the total intake in grams per day. Given that the </w:t>
      </w:r>
      <w:proofErr w:type="spellStart"/>
      <w:r w:rsidRPr="00A03CB5">
        <w:rPr>
          <w:rFonts w:ascii="Times New Roman" w:eastAsia="Times New Roman" w:hAnsi="Times New Roman" w:cs="Times New Roman"/>
          <w:sz w:val="24"/>
          <w:szCs w:val="24"/>
          <w:shd w:val="clear" w:color="auto" w:fill="FCFCFC"/>
        </w:rPr>
        <w:t>sQ</w:t>
      </w:r>
      <w:proofErr w:type="spellEnd"/>
      <w:r w:rsidRPr="00A03CB5">
        <w:rPr>
          <w:rFonts w:ascii="Times New Roman" w:eastAsia="Times New Roman" w:hAnsi="Times New Roman" w:cs="Times New Roman"/>
          <w:sz w:val="24"/>
          <w:szCs w:val="24"/>
          <w:shd w:val="clear" w:color="auto" w:fill="FCFCFC"/>
        </w:rPr>
        <w:t xml:space="preserve">-HPF was developed in Spain, some items were modified to ensure items referenced foods commonly found in the United States (e.g., “Spanish sparkling wine” was changed to “sparkling wine”). </w:t>
      </w:r>
      <w:r w:rsidRPr="00A03CB5">
        <w:rPr>
          <w:rFonts w:ascii="Times New Roman" w:eastAsia="Times New Roman" w:hAnsi="Times New Roman" w:cs="Times New Roman"/>
          <w:sz w:val="24"/>
          <w:szCs w:val="24"/>
        </w:rPr>
        <w:t xml:space="preserve">The </w:t>
      </w:r>
      <w:proofErr w:type="spellStart"/>
      <w:r w:rsidRPr="00A03CB5">
        <w:rPr>
          <w:rFonts w:ascii="Times New Roman" w:eastAsia="Times New Roman" w:hAnsi="Times New Roman" w:cs="Times New Roman"/>
          <w:sz w:val="24"/>
          <w:szCs w:val="24"/>
        </w:rPr>
        <w:t>sQ</w:t>
      </w:r>
      <w:proofErr w:type="spellEnd"/>
      <w:r w:rsidRPr="00A03CB5">
        <w:rPr>
          <w:rFonts w:ascii="Times New Roman" w:eastAsia="Times New Roman" w:hAnsi="Times New Roman" w:cs="Times New Roman"/>
          <w:sz w:val="24"/>
          <w:szCs w:val="24"/>
        </w:rPr>
        <w:t xml:space="preserve">-HPF was administered at the baseline, 3-month follow-up, and 6-month follow-up assessments. </w:t>
      </w:r>
    </w:p>
    <w:p w14:paraId="48955912" w14:textId="77777777" w:rsidR="006E4B3A" w:rsidRPr="00A03CB5" w:rsidRDefault="006E4B3A">
      <w:pPr>
        <w:spacing w:line="240" w:lineRule="auto"/>
        <w:ind w:firstLine="720"/>
        <w:rPr>
          <w:rFonts w:ascii="Times New Roman" w:eastAsia="Times New Roman" w:hAnsi="Times New Roman" w:cs="Times New Roman"/>
          <w:sz w:val="24"/>
          <w:szCs w:val="24"/>
          <w:shd w:val="clear" w:color="auto" w:fill="FCFCFC"/>
        </w:rPr>
      </w:pPr>
    </w:p>
    <w:p w14:paraId="56C74186" w14:textId="77777777" w:rsidR="000311C3" w:rsidRPr="00A03CB5" w:rsidRDefault="00000000">
      <w:pPr>
        <w:spacing w:line="240" w:lineRule="auto"/>
        <w:ind w:firstLine="720"/>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2.3.8. Sweet Taste Questionnaire (STQ; </w:t>
      </w:r>
      <w:proofErr w:type="spellStart"/>
      <w:r w:rsidRPr="00A03CB5">
        <w:rPr>
          <w:rFonts w:ascii="Times New Roman" w:eastAsia="Times New Roman" w:hAnsi="Times New Roman" w:cs="Times New Roman"/>
          <w:sz w:val="24"/>
          <w:szCs w:val="24"/>
        </w:rPr>
        <w:t>Kampov-Polevoy</w:t>
      </w:r>
      <w:proofErr w:type="spellEnd"/>
      <w:r w:rsidRPr="00A03CB5">
        <w:rPr>
          <w:rFonts w:ascii="Times New Roman" w:eastAsia="Times New Roman" w:hAnsi="Times New Roman" w:cs="Times New Roman"/>
          <w:sz w:val="24"/>
          <w:szCs w:val="24"/>
        </w:rPr>
        <w:t xml:space="preserve"> et al., 2006). </w:t>
      </w:r>
    </w:p>
    <w:p w14:paraId="2486D431" w14:textId="063C6A50" w:rsidR="006E4B3A" w:rsidRPr="00A03CB5" w:rsidRDefault="00000000">
      <w:pPr>
        <w:spacing w:line="240" w:lineRule="auto"/>
        <w:ind w:firstLine="720"/>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The STQ measures emotional and cognitive response to sweet taste and includes two factors: sensitivity to the mood-altering effect of sweets and impaired control </w:t>
      </w:r>
      <w:proofErr w:type="gramStart"/>
      <w:r w:rsidRPr="00A03CB5">
        <w:rPr>
          <w:rFonts w:ascii="Times New Roman" w:eastAsia="Times New Roman" w:hAnsi="Times New Roman" w:cs="Times New Roman"/>
          <w:sz w:val="24"/>
          <w:szCs w:val="24"/>
        </w:rPr>
        <w:t>over eating</w:t>
      </w:r>
      <w:proofErr w:type="gramEnd"/>
      <w:r w:rsidRPr="00A03CB5">
        <w:rPr>
          <w:rFonts w:ascii="Times New Roman" w:eastAsia="Times New Roman" w:hAnsi="Times New Roman" w:cs="Times New Roman"/>
          <w:sz w:val="24"/>
          <w:szCs w:val="24"/>
        </w:rPr>
        <w:t xml:space="preserve"> sweet foods. Each of the 12 items is rated on a scale ranging from 1 (strongly disagree) to 7 (strongly agree). The STQ was administered at the baseline, 3-month follow-up, and 6-month follow-up assessments</w:t>
      </w:r>
    </w:p>
    <w:p w14:paraId="63872EAB" w14:textId="77777777" w:rsidR="006E4B3A" w:rsidRPr="00A03CB5" w:rsidRDefault="006E4B3A">
      <w:pPr>
        <w:spacing w:line="240" w:lineRule="auto"/>
        <w:rPr>
          <w:rFonts w:ascii="Times New Roman" w:eastAsia="Times New Roman" w:hAnsi="Times New Roman" w:cs="Times New Roman"/>
          <w:sz w:val="24"/>
          <w:szCs w:val="24"/>
        </w:rPr>
      </w:pPr>
    </w:p>
    <w:p w14:paraId="1683D75C" w14:textId="77777777" w:rsidR="000311C3" w:rsidRPr="00A03CB5" w:rsidRDefault="00000000">
      <w:pPr>
        <w:spacing w:line="240" w:lineRule="auto"/>
        <w:ind w:firstLine="720"/>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2.3.9. Meal preparation, dining out, and take-out history (</w:t>
      </w:r>
      <w:proofErr w:type="spellStart"/>
      <w:r w:rsidRPr="00A03CB5">
        <w:rPr>
          <w:rFonts w:ascii="Times New Roman" w:eastAsia="Times New Roman" w:hAnsi="Times New Roman" w:cs="Times New Roman"/>
          <w:sz w:val="24"/>
          <w:szCs w:val="24"/>
        </w:rPr>
        <w:t>Erinosho</w:t>
      </w:r>
      <w:proofErr w:type="spellEnd"/>
      <w:r w:rsidRPr="00A03CB5">
        <w:rPr>
          <w:rFonts w:ascii="Times New Roman" w:eastAsia="Times New Roman" w:hAnsi="Times New Roman" w:cs="Times New Roman"/>
          <w:sz w:val="24"/>
          <w:szCs w:val="24"/>
        </w:rPr>
        <w:t xml:space="preserve"> et al., 2015; Lytle, 2009; </w:t>
      </w:r>
      <w:proofErr w:type="spellStart"/>
      <w:r w:rsidRPr="00A03CB5">
        <w:rPr>
          <w:rFonts w:ascii="Times New Roman" w:eastAsia="Times New Roman" w:hAnsi="Times New Roman" w:cs="Times New Roman"/>
          <w:sz w:val="24"/>
          <w:szCs w:val="24"/>
        </w:rPr>
        <w:t>Nebeling</w:t>
      </w:r>
      <w:proofErr w:type="spellEnd"/>
      <w:r w:rsidRPr="00A03CB5">
        <w:rPr>
          <w:rFonts w:ascii="Times New Roman" w:eastAsia="Times New Roman" w:hAnsi="Times New Roman" w:cs="Times New Roman"/>
          <w:sz w:val="24"/>
          <w:szCs w:val="24"/>
        </w:rPr>
        <w:t xml:space="preserve"> et al, 2017). </w:t>
      </w:r>
    </w:p>
    <w:p w14:paraId="54165247" w14:textId="35298FF1" w:rsidR="006E4B3A" w:rsidRPr="00A03CB5" w:rsidRDefault="00000000">
      <w:pPr>
        <w:spacing w:line="240" w:lineRule="auto"/>
        <w:ind w:firstLine="720"/>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Participants reported on meals at home and out of the home in the past seven days. They were asked to report how much in the past seven days they had meals: (1) purchased from a fast food restaurant and eaten at home; (2) delivered to their home (e.g., pizza, Chinese food, Uber Eats); (3) made from a heat and serve or box meal (e.g., Spaghetti-O’s, a microwave meal, or frozen pizza)?; and (4) cooked from scratch or a recipe and eaten AT HOME? Also, they were asked to report how much in the past seven days they had meals away from home at: (1) a fast food restaurant like McDonald’s, Taco Bell or KFC; (2) a full service pizza restaurant like Pizza Hut, Godfather’s or CiCi’s Pizza; (3) a convenience store like 7-Eleven or Express Mart; and (4) a full service restaurant like Red Lobster, </w:t>
      </w:r>
      <w:proofErr w:type="spellStart"/>
      <w:r w:rsidRPr="00A03CB5">
        <w:rPr>
          <w:rFonts w:ascii="Times New Roman" w:eastAsia="Times New Roman" w:hAnsi="Times New Roman" w:cs="Times New Roman"/>
          <w:sz w:val="24"/>
          <w:szCs w:val="24"/>
        </w:rPr>
        <w:t>TGIFridays</w:t>
      </w:r>
      <w:proofErr w:type="spellEnd"/>
      <w:r w:rsidRPr="00A03CB5">
        <w:rPr>
          <w:rFonts w:ascii="Times New Roman" w:eastAsia="Times New Roman" w:hAnsi="Times New Roman" w:cs="Times New Roman"/>
          <w:sz w:val="24"/>
          <w:szCs w:val="24"/>
        </w:rPr>
        <w:t>, Chili’s or an independent restaurant. The at-home and away from home frequencies were summed for fast food and restaurants. Participants reported on this information at the baseline, 3-month follow-up, and 6-month follow-up assessments.</w:t>
      </w:r>
    </w:p>
    <w:p w14:paraId="775F46CE" w14:textId="77777777" w:rsidR="006E4B3A" w:rsidRPr="00A03CB5" w:rsidRDefault="006E4B3A">
      <w:pPr>
        <w:spacing w:line="240" w:lineRule="auto"/>
        <w:ind w:firstLine="720"/>
        <w:rPr>
          <w:rFonts w:ascii="Times New Roman" w:eastAsia="Times New Roman" w:hAnsi="Times New Roman" w:cs="Times New Roman"/>
          <w:sz w:val="24"/>
          <w:szCs w:val="24"/>
        </w:rPr>
      </w:pPr>
    </w:p>
    <w:p w14:paraId="1D2C44F3"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b/>
          <w:sz w:val="24"/>
          <w:szCs w:val="24"/>
        </w:rPr>
        <w:t>2.4. Statistical Analyses</w:t>
      </w:r>
      <w:r w:rsidRPr="00A03CB5">
        <w:rPr>
          <w:rFonts w:ascii="Times New Roman" w:eastAsia="Times New Roman" w:hAnsi="Times New Roman" w:cs="Times New Roman"/>
          <w:b/>
          <w:sz w:val="24"/>
          <w:szCs w:val="24"/>
        </w:rPr>
        <w:br/>
      </w:r>
      <w:r w:rsidRPr="00A03CB5">
        <w:rPr>
          <w:rFonts w:ascii="Times New Roman" w:eastAsia="Times New Roman" w:hAnsi="Times New Roman" w:cs="Times New Roman"/>
          <w:b/>
          <w:sz w:val="24"/>
          <w:szCs w:val="24"/>
        </w:rPr>
        <w:tab/>
      </w:r>
      <w:r w:rsidRPr="00A03CB5">
        <w:rPr>
          <w:rFonts w:ascii="Times New Roman" w:eastAsia="Cardo" w:hAnsi="Times New Roman" w:cs="Times New Roman"/>
          <w:sz w:val="24"/>
          <w:szCs w:val="24"/>
        </w:rPr>
        <w:t xml:space="preserve">Descriptive statistics and bivariate correlations were calculated. Demographics (i.e., total household income, age, sex, race, ethnicity, BMI), compliance (i.e., the number of assessments completed during the six-month protocol), and compensatory behaviors (due to the diagnostic heterogeneity of the sample) were screened as potential covariates by assessing their relationship with baseline </w:t>
      </w:r>
      <w:proofErr w:type="spellStart"/>
      <w:r w:rsidRPr="00A03CB5">
        <w:rPr>
          <w:rFonts w:ascii="Times New Roman" w:eastAsia="Cardo" w:hAnsi="Times New Roman" w:cs="Times New Roman"/>
          <w:sz w:val="24"/>
          <w:szCs w:val="24"/>
        </w:rPr>
        <w:t>mYFAS</w:t>
      </w:r>
      <w:proofErr w:type="spellEnd"/>
      <w:r w:rsidRPr="00A03CB5">
        <w:rPr>
          <w:rFonts w:ascii="Times New Roman" w:eastAsia="Cardo" w:hAnsi="Times New Roman" w:cs="Times New Roman"/>
          <w:sz w:val="24"/>
          <w:szCs w:val="24"/>
        </w:rPr>
        <w:t xml:space="preserve"> total scores using Spearman correlations. Given that </w:t>
      </w:r>
      <w:proofErr w:type="spellStart"/>
      <w:r w:rsidRPr="00A03CB5">
        <w:rPr>
          <w:rFonts w:ascii="Times New Roman" w:eastAsia="Cardo" w:hAnsi="Times New Roman" w:cs="Times New Roman"/>
          <w:sz w:val="24"/>
          <w:szCs w:val="24"/>
        </w:rPr>
        <w:t>mYFAS</w:t>
      </w:r>
      <w:proofErr w:type="spellEnd"/>
      <w:r w:rsidRPr="00A03CB5">
        <w:rPr>
          <w:rFonts w:ascii="Times New Roman" w:eastAsia="Cardo" w:hAnsi="Times New Roman" w:cs="Times New Roman"/>
          <w:sz w:val="24"/>
          <w:szCs w:val="24"/>
        </w:rPr>
        <w:t xml:space="preserve"> total scores were associated with income (</w:t>
      </w:r>
      <w:r w:rsidRPr="00A03CB5">
        <w:rPr>
          <w:rFonts w:ascii="Cambria Math" w:eastAsia="Cardo" w:hAnsi="Cambria Math" w:cs="Cambria Math"/>
          <w:sz w:val="24"/>
          <w:szCs w:val="24"/>
        </w:rPr>
        <w:t>⍴</w:t>
      </w:r>
      <w:r w:rsidRPr="00A03CB5">
        <w:rPr>
          <w:rFonts w:ascii="Times New Roman" w:eastAsia="Cardo" w:hAnsi="Times New Roman" w:cs="Times New Roman"/>
          <w:sz w:val="24"/>
          <w:szCs w:val="24"/>
        </w:rPr>
        <w:t xml:space="preserve">=.21, </w:t>
      </w:r>
      <w:r w:rsidRPr="00A03CB5">
        <w:rPr>
          <w:rFonts w:ascii="Times New Roman" w:eastAsia="Times New Roman" w:hAnsi="Times New Roman" w:cs="Times New Roman"/>
          <w:i/>
          <w:sz w:val="24"/>
          <w:szCs w:val="24"/>
        </w:rPr>
        <w:t>p</w:t>
      </w:r>
      <w:r w:rsidRPr="00A03CB5">
        <w:rPr>
          <w:rFonts w:ascii="Times New Roman" w:eastAsia="Cardo" w:hAnsi="Times New Roman" w:cs="Times New Roman"/>
          <w:sz w:val="24"/>
          <w:szCs w:val="24"/>
        </w:rPr>
        <w:t>=.012), compliance (</w:t>
      </w:r>
      <w:r w:rsidRPr="00A03CB5">
        <w:rPr>
          <w:rFonts w:ascii="Cambria Math" w:eastAsia="Cardo" w:hAnsi="Cambria Math" w:cs="Cambria Math"/>
          <w:sz w:val="24"/>
          <w:szCs w:val="24"/>
        </w:rPr>
        <w:t>⍴</w:t>
      </w:r>
      <w:r w:rsidRPr="00A03CB5">
        <w:rPr>
          <w:rFonts w:ascii="Times New Roman" w:eastAsia="Cardo" w:hAnsi="Times New Roman" w:cs="Times New Roman"/>
          <w:sz w:val="24"/>
          <w:szCs w:val="24"/>
        </w:rPr>
        <w:t xml:space="preserve">=-.35, </w:t>
      </w:r>
      <w:r w:rsidRPr="00A03CB5">
        <w:rPr>
          <w:rFonts w:ascii="Times New Roman" w:eastAsia="Times New Roman" w:hAnsi="Times New Roman" w:cs="Times New Roman"/>
          <w:i/>
          <w:sz w:val="24"/>
          <w:szCs w:val="24"/>
        </w:rPr>
        <w:t>p</w:t>
      </w:r>
      <w:r w:rsidRPr="00A03CB5">
        <w:rPr>
          <w:rFonts w:ascii="Times New Roman" w:eastAsia="Cardo" w:hAnsi="Times New Roman" w:cs="Times New Roman"/>
          <w:sz w:val="24"/>
          <w:szCs w:val="24"/>
        </w:rPr>
        <w:t>&lt;.001), and BMI (</w:t>
      </w:r>
      <w:r w:rsidRPr="00A03CB5">
        <w:rPr>
          <w:rFonts w:ascii="Cambria Math" w:eastAsia="Cardo" w:hAnsi="Cambria Math" w:cs="Cambria Math"/>
          <w:sz w:val="24"/>
          <w:szCs w:val="24"/>
        </w:rPr>
        <w:t>⍴</w:t>
      </w:r>
      <w:r w:rsidRPr="00A03CB5">
        <w:rPr>
          <w:rFonts w:ascii="Times New Roman" w:eastAsia="Cardo" w:hAnsi="Times New Roman" w:cs="Times New Roman"/>
          <w:sz w:val="24"/>
          <w:szCs w:val="24"/>
        </w:rPr>
        <w:t xml:space="preserve">=.28, </w:t>
      </w:r>
      <w:r w:rsidRPr="00A03CB5">
        <w:rPr>
          <w:rFonts w:ascii="Times New Roman" w:eastAsia="Times New Roman" w:hAnsi="Times New Roman" w:cs="Times New Roman"/>
          <w:i/>
          <w:sz w:val="24"/>
          <w:szCs w:val="24"/>
        </w:rPr>
        <w:t>p</w:t>
      </w:r>
      <w:r w:rsidRPr="00A03CB5">
        <w:rPr>
          <w:rFonts w:ascii="Times New Roman" w:eastAsia="Cardo" w:hAnsi="Times New Roman" w:cs="Times New Roman"/>
          <w:sz w:val="24"/>
          <w:szCs w:val="24"/>
        </w:rPr>
        <w:t>&lt;.001), but not with age, sex, race, or ethnicity (</w:t>
      </w:r>
      <w:r w:rsidRPr="00A03CB5">
        <w:rPr>
          <w:rFonts w:ascii="Cambria Math" w:eastAsia="Cardo" w:hAnsi="Cambria Math" w:cs="Cambria Math"/>
          <w:sz w:val="24"/>
          <w:szCs w:val="24"/>
        </w:rPr>
        <w:t>⍴</w:t>
      </w:r>
      <w:r w:rsidRPr="00A03CB5">
        <w:rPr>
          <w:rFonts w:ascii="Times New Roman" w:eastAsia="Cardo" w:hAnsi="Times New Roman" w:cs="Times New Roman"/>
          <w:sz w:val="24"/>
          <w:szCs w:val="24"/>
        </w:rPr>
        <w:t xml:space="preserve">= -.13 to .15; </w:t>
      </w:r>
      <w:proofErr w:type="spellStart"/>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s</w:t>
      </w:r>
      <w:proofErr w:type="spellEnd"/>
      <w:r w:rsidRPr="00A03CB5">
        <w:rPr>
          <w:rFonts w:ascii="Times New Roman" w:eastAsia="Times New Roman" w:hAnsi="Times New Roman" w:cs="Times New Roman"/>
          <w:sz w:val="24"/>
          <w:szCs w:val="24"/>
        </w:rPr>
        <w:t>&gt;.05), income and BMI were retained as covariates in subsequent analyses.</w:t>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tab/>
        <w:t xml:space="preserve">Linear mixed models were used to assess concurrent and prospective associations </w:t>
      </w:r>
      <w:r w:rsidRPr="00A03CB5">
        <w:rPr>
          <w:rFonts w:ascii="Times New Roman" w:eastAsia="Times New Roman" w:hAnsi="Times New Roman" w:cs="Times New Roman"/>
          <w:sz w:val="24"/>
          <w:szCs w:val="24"/>
        </w:rPr>
        <w:lastRenderedPageBreak/>
        <w:t xml:space="preserve">between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total scores and dietary patterns across the three assessments. Models decomposed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effects into between-person (i.e., reflecting the difference between person’s mean YFAS total score over time compared to the overall sample mean) and within-person components (i.e., reflecting the change in a person’s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total score at a given assessment relative to their mean level). Concurrent models assessed the between- and within-person effects of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total scores as predictors of </w:t>
      </w:r>
      <w:proofErr w:type="spellStart"/>
      <w:r w:rsidRPr="00A03CB5">
        <w:rPr>
          <w:rFonts w:ascii="Times New Roman" w:eastAsia="Times New Roman" w:hAnsi="Times New Roman" w:cs="Times New Roman"/>
          <w:sz w:val="24"/>
          <w:szCs w:val="24"/>
        </w:rPr>
        <w:t>sQ</w:t>
      </w:r>
      <w:proofErr w:type="spellEnd"/>
      <w:r w:rsidRPr="00A03CB5">
        <w:rPr>
          <w:rFonts w:ascii="Times New Roman" w:eastAsia="Times New Roman" w:hAnsi="Times New Roman" w:cs="Times New Roman"/>
          <w:sz w:val="24"/>
          <w:szCs w:val="24"/>
        </w:rPr>
        <w:t xml:space="preserve">-HPF and STQ total scores, and the frequency of each type of meal preparation (i.e., cooking from scratch, fast food, restaurant, heat and serve meals, convenience store, food delivery). Prospective models were identical with the exception that the within-person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total score was lagged from the previous assessment to examine how food addiction symptoms predicted outcomes three months later. All models specified an AR1 covariance structure and random intercept effect, in addition to including income and BMI as covariates. Analyses were conducted using SPSS version 29.</w:t>
      </w:r>
    </w:p>
    <w:p w14:paraId="465DD859" w14:textId="77777777" w:rsidR="006E4B3A" w:rsidRPr="00A03CB5" w:rsidRDefault="00000000">
      <w:pPr>
        <w:spacing w:before="200" w:line="240" w:lineRule="auto"/>
        <w:jc w:val="center"/>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t>3.  Results</w:t>
      </w:r>
    </w:p>
    <w:p w14:paraId="19419F68" w14:textId="77777777" w:rsidR="006E4B3A" w:rsidRPr="00A03CB5" w:rsidRDefault="00000000">
      <w:pPr>
        <w:spacing w:before="200"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ab/>
        <w:t xml:space="preserve">Of the 153 participants enrolled at baseline, 125 participants (81.7%) completed the 3-month </w:t>
      </w:r>
      <w:proofErr w:type="gramStart"/>
      <w:r w:rsidRPr="00A03CB5">
        <w:rPr>
          <w:rFonts w:ascii="Times New Roman" w:eastAsia="Times New Roman" w:hAnsi="Times New Roman" w:cs="Times New Roman"/>
          <w:sz w:val="24"/>
          <w:szCs w:val="24"/>
        </w:rPr>
        <w:t>follow-up</w:t>
      </w:r>
      <w:proofErr w:type="gramEnd"/>
      <w:r w:rsidRPr="00A03CB5">
        <w:rPr>
          <w:rFonts w:ascii="Times New Roman" w:eastAsia="Times New Roman" w:hAnsi="Times New Roman" w:cs="Times New Roman"/>
          <w:sz w:val="24"/>
          <w:szCs w:val="24"/>
        </w:rPr>
        <w:t xml:space="preserve"> and 101 participants (66.0%) completed the 6-month follow-up. Across the sample, 99 (64.7%) completed all three assessments; 28 (18.3%) completed two assessments, and 26 (17.0%) completed one assessment. Demographic and descriptive data are shown in Tables 1-2. Participants had a mean BMI of 26.5 (± 6.6) kg/m</w:t>
      </w:r>
      <w:r w:rsidRPr="00A03CB5">
        <w:rPr>
          <w:rFonts w:ascii="Times New Roman" w:eastAsia="Times New Roman" w:hAnsi="Times New Roman" w:cs="Times New Roman"/>
          <w:sz w:val="24"/>
          <w:szCs w:val="24"/>
          <w:vertAlign w:val="superscript"/>
        </w:rPr>
        <w:t>2</w:t>
      </w:r>
      <w:r w:rsidRPr="00A03CB5">
        <w:rPr>
          <w:rFonts w:ascii="Times New Roman" w:eastAsia="Times New Roman" w:hAnsi="Times New Roman" w:cs="Times New Roman"/>
          <w:sz w:val="24"/>
          <w:szCs w:val="24"/>
        </w:rPr>
        <w:t xml:space="preserve"> and mean age of 22.2 (± 2.1) years; 58.2% of participants identified as female and approximately half (53.6%) were White. At baseline, 48 participants (31.4%) met criteria for food addiction according to the YFAS diagnostic algorithm. Based on the EDDS administered at screening, 66 participants had a probable eating disorder diagnosis, with bulimia nervosa (</w:t>
      </w:r>
      <w:r w:rsidRPr="00A03CB5">
        <w:rPr>
          <w:rFonts w:ascii="Times New Roman" w:eastAsia="Times New Roman" w:hAnsi="Times New Roman" w:cs="Times New Roman"/>
          <w:i/>
          <w:sz w:val="24"/>
          <w:szCs w:val="24"/>
        </w:rPr>
        <w:t>n</w:t>
      </w:r>
      <w:r w:rsidRPr="00A03CB5">
        <w:rPr>
          <w:rFonts w:ascii="Times New Roman" w:eastAsia="Times New Roman" w:hAnsi="Times New Roman" w:cs="Times New Roman"/>
          <w:sz w:val="24"/>
          <w:szCs w:val="24"/>
        </w:rPr>
        <w:t xml:space="preserve">=39) emerging as the most prevalent diagnosis (Table 2). According to responses on the </w:t>
      </w:r>
      <w:proofErr w:type="spellStart"/>
      <w:r w:rsidRPr="00A03CB5">
        <w:rPr>
          <w:rFonts w:ascii="Times New Roman" w:eastAsia="Times New Roman" w:hAnsi="Times New Roman" w:cs="Times New Roman"/>
          <w:sz w:val="24"/>
          <w:szCs w:val="24"/>
        </w:rPr>
        <w:t>sQ</w:t>
      </w:r>
      <w:proofErr w:type="spellEnd"/>
      <w:r w:rsidRPr="00A03CB5">
        <w:rPr>
          <w:rFonts w:ascii="Times New Roman" w:eastAsia="Times New Roman" w:hAnsi="Times New Roman" w:cs="Times New Roman"/>
          <w:sz w:val="24"/>
          <w:szCs w:val="24"/>
        </w:rPr>
        <w:t>-HPF, the average estimated percentage of HPF consumption relative to total intake (grams per day) was between 29.8% and 37.2% (Table 3). Fast food emerged as the most frequent food source across all three assessments, with participants reporting eating fast food four to five times per week on average (Table 3).</w:t>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tab/>
        <w:t xml:space="preserve">Concurrent models are shown in Table 4, showing that between-person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total scores were significantly related to higher STQ scores (B=1.46,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=.002), SQHPF total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=.19,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=.009), frequency of eating fast food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=.29,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eating at restaurants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=.27,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convenience stores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=.12,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heat and serve meals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=.09,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=.003), and food delivery services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=.19,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 xml:space="preserve">&lt;.001). That is, individuals who reported greater food addiction symptoms (relative to the sample mean) endorsed greater sweet taste preference, consumption of highly processed food, and more frequently consumed pre-prepared meals or meals from sources outside their home. Conversely, between-person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was negatively associated with frequency of cooking from scratch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=-.12,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 xml:space="preserve">=.012), indicating those with higher food addiction symptoms less frequently cooked from scratch. </w:t>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tab/>
        <w:t xml:space="preserve">Within-person effects indicated higher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total scores (compared to a person’s mean level) at a given assessment were concurrently associated with higher STQ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=1.25,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 xml:space="preserve">&lt;.001) and </w:t>
      </w:r>
      <w:proofErr w:type="spellStart"/>
      <w:r w:rsidRPr="00A03CB5">
        <w:rPr>
          <w:rFonts w:ascii="Times New Roman" w:eastAsia="Times New Roman" w:hAnsi="Times New Roman" w:cs="Times New Roman"/>
          <w:sz w:val="24"/>
          <w:szCs w:val="24"/>
        </w:rPr>
        <w:t>sQ</w:t>
      </w:r>
      <w:proofErr w:type="spellEnd"/>
      <w:r w:rsidRPr="00A03CB5">
        <w:rPr>
          <w:rFonts w:ascii="Times New Roman" w:eastAsia="Times New Roman" w:hAnsi="Times New Roman" w:cs="Times New Roman"/>
          <w:sz w:val="24"/>
          <w:szCs w:val="24"/>
        </w:rPr>
        <w:t>-HPF total scores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=.18,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=.011). In other words, when individuals reported greater food addiction symptoms compared to their usual level, they also endorsed greater sweet taste preference and consumption of highly processed food at the same assessment. However, within-person effects were not significant for the frequencies of fast food, restaurant, convenience store, heat and serve meals, or cooking from scratch.</w:t>
      </w:r>
      <w:r w:rsidRPr="00A03CB5">
        <w:rPr>
          <w:rFonts w:ascii="Times New Roman" w:eastAsia="Times New Roman" w:hAnsi="Times New Roman" w:cs="Times New Roman"/>
          <w:sz w:val="24"/>
          <w:szCs w:val="24"/>
        </w:rPr>
        <w:tab/>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tab/>
        <w:t xml:space="preserve">Prospective models are shown in Table 4. Similar between-person effects of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total scores emerged for STQ scores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=1.47,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=.004), SQHPF total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=.28,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 xml:space="preserve">=.006), frequency </w:t>
      </w:r>
      <w:r w:rsidRPr="00A03CB5">
        <w:rPr>
          <w:rFonts w:ascii="Times New Roman" w:eastAsia="Times New Roman" w:hAnsi="Times New Roman" w:cs="Times New Roman"/>
          <w:sz w:val="24"/>
          <w:szCs w:val="24"/>
        </w:rPr>
        <w:lastRenderedPageBreak/>
        <w:t>of fast food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=.39,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restaurants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=.33,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convenience stores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=.15,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&lt;.001), heat and serve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=.10,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=.016), and food delivery services (</w:t>
      </w:r>
      <w:r w:rsidRPr="00A03CB5">
        <w:rPr>
          <w:rFonts w:ascii="Times New Roman" w:eastAsia="Times New Roman" w:hAnsi="Times New Roman" w:cs="Times New Roman"/>
          <w:i/>
          <w:sz w:val="24"/>
          <w:szCs w:val="24"/>
        </w:rPr>
        <w:t>B</w:t>
      </w:r>
      <w:r w:rsidRPr="00A03CB5">
        <w:rPr>
          <w:rFonts w:ascii="Times New Roman" w:eastAsia="Times New Roman" w:hAnsi="Times New Roman" w:cs="Times New Roman"/>
          <w:sz w:val="24"/>
          <w:szCs w:val="24"/>
        </w:rPr>
        <w:t xml:space="preserve">=.23, </w:t>
      </w:r>
      <w:r w:rsidRPr="00A03CB5">
        <w:rPr>
          <w:rFonts w:ascii="Times New Roman" w:eastAsia="Times New Roman" w:hAnsi="Times New Roman" w:cs="Times New Roman"/>
          <w:i/>
          <w:sz w:val="24"/>
          <w:szCs w:val="24"/>
        </w:rPr>
        <w:t>p</w:t>
      </w:r>
      <w:r w:rsidRPr="00A03CB5">
        <w:rPr>
          <w:rFonts w:ascii="Times New Roman" w:eastAsia="Times New Roman" w:hAnsi="Times New Roman" w:cs="Times New Roman"/>
          <w:sz w:val="24"/>
          <w:szCs w:val="24"/>
        </w:rPr>
        <w:t xml:space="preserve">&lt;.001); there was not a significant between-person effect for cooking from scratch. No lagged within-person effects of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total scores emerged, such that changes in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scores did not predict outcomes three months later.</w:t>
      </w:r>
    </w:p>
    <w:p w14:paraId="058D20CB" w14:textId="77777777" w:rsidR="006E4B3A" w:rsidRPr="00A03CB5" w:rsidRDefault="00000000">
      <w:pPr>
        <w:numPr>
          <w:ilvl w:val="0"/>
          <w:numId w:val="9"/>
        </w:numPr>
        <w:spacing w:before="200" w:line="240" w:lineRule="auto"/>
        <w:jc w:val="center"/>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t>Discussion</w:t>
      </w:r>
    </w:p>
    <w:p w14:paraId="122FAE37" w14:textId="77777777" w:rsidR="006E4B3A" w:rsidRPr="00A03CB5" w:rsidRDefault="00000000">
      <w:pPr>
        <w:spacing w:before="200"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ab/>
        <w:t>The aim of this study was to examine the relationship between FA symptoms and dietary patterns– such as HPF intake, preference for sweet taste, and methods of meal preparation– in a sample of young adults over a six-month period. Overall, results supported some hypotheses and demonstrated that individuals who experience more FA symptoms are more likely to have a higher intake of HPF, a greater preference for sweet taste, and an increased reliance on fast food, convenience stores, and food delivery services. However, prospective associations between FA symptoms and subsequent change in dietary patterns were not observed.</w:t>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tab/>
        <w:t>Consistent with the hypothesis, the finding that greater FA symptomatology is associated with greater consumption of HPF for between-person and concurrent within-person effects aligns with and extends previous research (</w:t>
      </w:r>
      <w:proofErr w:type="spellStart"/>
      <w:r w:rsidRPr="00A03CB5">
        <w:rPr>
          <w:rFonts w:ascii="Times New Roman" w:eastAsia="Times New Roman" w:hAnsi="Times New Roman" w:cs="Times New Roman"/>
          <w:sz w:val="24"/>
          <w:szCs w:val="24"/>
        </w:rPr>
        <w:t>Reche</w:t>
      </w:r>
      <w:proofErr w:type="spellEnd"/>
      <w:r w:rsidRPr="00A03CB5">
        <w:rPr>
          <w:rFonts w:ascii="Times New Roman" w:eastAsia="Times New Roman" w:hAnsi="Times New Roman" w:cs="Times New Roman"/>
          <w:sz w:val="24"/>
          <w:szCs w:val="24"/>
        </w:rPr>
        <w:t xml:space="preserve">-García, 2022; Júnior, 2023; Ayaz, 2018). The positive association between FA symptoms and HPF scores is consistent with the conceptualization of FA. While directionality cannot be inferred based on these cross-sectional associations, our results did not show a lagged effect of FA symptoms predicting HPF consumption over three months. Additionally, there was a significant positive association between FA symptoms and greater sweet taste preference for both between-person and concurrent within-person effects in our sample, consistent with the hypothesis. Prior literature has demonstrated that individuals with FA may exhibit heightened preferences for sweet tastes, which are associated with the activation of reward-related neural pathways </w:t>
      </w:r>
      <w:proofErr w:type="gramStart"/>
      <w:r w:rsidRPr="00A03CB5">
        <w:rPr>
          <w:rFonts w:ascii="Times New Roman" w:eastAsia="Times New Roman" w:hAnsi="Times New Roman" w:cs="Times New Roman"/>
          <w:sz w:val="24"/>
          <w:szCs w:val="24"/>
        </w:rPr>
        <w:t>similar to</w:t>
      </w:r>
      <w:proofErr w:type="gramEnd"/>
      <w:r w:rsidRPr="00A03CB5">
        <w:rPr>
          <w:rFonts w:ascii="Times New Roman" w:eastAsia="Times New Roman" w:hAnsi="Times New Roman" w:cs="Times New Roman"/>
          <w:sz w:val="24"/>
          <w:szCs w:val="24"/>
        </w:rPr>
        <w:t xml:space="preserve"> those involved in substance addiction (</w:t>
      </w:r>
      <w:proofErr w:type="spellStart"/>
      <w:r w:rsidRPr="00A03CB5">
        <w:rPr>
          <w:rFonts w:ascii="Times New Roman" w:eastAsia="Times New Roman" w:hAnsi="Times New Roman" w:cs="Times New Roman"/>
          <w:sz w:val="24"/>
          <w:szCs w:val="24"/>
        </w:rPr>
        <w:t>Drewnowski</w:t>
      </w:r>
      <w:proofErr w:type="spellEnd"/>
      <w:r w:rsidRPr="00A03CB5">
        <w:rPr>
          <w:rFonts w:ascii="Times New Roman" w:eastAsia="Times New Roman" w:hAnsi="Times New Roman" w:cs="Times New Roman"/>
          <w:sz w:val="24"/>
          <w:szCs w:val="24"/>
        </w:rPr>
        <w:t xml:space="preserve"> et al., 2012; </w:t>
      </w: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et al., 2009).</w:t>
      </w:r>
      <w:r w:rsidRPr="00A03CB5">
        <w:rPr>
          <w:rFonts w:ascii="Times New Roman" w:eastAsia="Times New Roman" w:hAnsi="Times New Roman" w:cs="Times New Roman"/>
          <w:b/>
          <w:sz w:val="24"/>
          <w:szCs w:val="24"/>
        </w:rPr>
        <w:br/>
      </w:r>
      <w:r w:rsidRPr="00A03CB5">
        <w:rPr>
          <w:rFonts w:ascii="Times New Roman" w:eastAsia="Times New Roman" w:hAnsi="Times New Roman" w:cs="Times New Roman"/>
          <w:b/>
          <w:sz w:val="24"/>
          <w:szCs w:val="24"/>
        </w:rPr>
        <w:tab/>
      </w:r>
      <w:r w:rsidRPr="00A03CB5">
        <w:rPr>
          <w:rFonts w:ascii="Times New Roman" w:eastAsia="Times New Roman" w:hAnsi="Times New Roman" w:cs="Times New Roman"/>
          <w:sz w:val="24"/>
          <w:szCs w:val="24"/>
        </w:rPr>
        <w:t>This study also adds new insights into how food sources and methods of meal preparation relate to FA symptoms. Results demonstrated that individuals with higher FA symptoms reported more frequent consumption of meals from convenience stores, fast-food restaurants, and heat-and-serve meals, as well as greater use of food delivery services for both between-person effects. Specifically, the between-person effects suggest that individuals with generally higher levels of FA symptoms tend to rely more on convenient, processed food options compared to those with lower FA symptoms. These findings echo previous literature showing that frequent consumption of fast food and ready-made meals is linked to poor diet quality and higher energy intake (</w:t>
      </w:r>
      <w:proofErr w:type="spellStart"/>
      <w:r w:rsidRPr="00A03CB5">
        <w:rPr>
          <w:rFonts w:ascii="Times New Roman" w:eastAsia="Times New Roman" w:hAnsi="Times New Roman" w:cs="Times New Roman"/>
          <w:sz w:val="24"/>
          <w:szCs w:val="24"/>
        </w:rPr>
        <w:t>Alkerwi</w:t>
      </w:r>
      <w:proofErr w:type="spellEnd"/>
      <w:r w:rsidRPr="00A03CB5">
        <w:rPr>
          <w:rFonts w:ascii="Times New Roman" w:eastAsia="Times New Roman" w:hAnsi="Times New Roman" w:cs="Times New Roman"/>
          <w:sz w:val="24"/>
          <w:szCs w:val="24"/>
        </w:rPr>
        <w:t xml:space="preserve"> et al., 2014). For individuals with higher FA symptoms, these dietary patterns may reflect a tendency to choose more convenient, processed food options in response to addictive eating tendencies. </w:t>
      </w:r>
      <w:r w:rsidRPr="00A03CB5">
        <w:rPr>
          <w:rFonts w:ascii="Times New Roman" w:eastAsia="Times New Roman" w:hAnsi="Times New Roman" w:cs="Times New Roman"/>
          <w:sz w:val="24"/>
          <w:szCs w:val="24"/>
        </w:rPr>
        <w:tab/>
        <w:t xml:space="preserve">While within-person changes in FA symptoms were associated with concurrent changes in sweet taste preference and highly processed food consumption, FA symptoms did not predict subsequent changes in processed food consumption, sweet taste preference, food sources, or meal preparation methods over time. This suggests that increases in FA symptoms f may be linked to some immediate changes in dietary choices and preferences based on these symptoms. However, individuals’ meal preparation behaviors may be more habitual and remain relatively stable. One reason could be that food sourcing habits are often shaped by long-standing environmental and economic factors, which are resistant to short-term changes (Manning et al., 2020; Schlüter et al., 2017). Future research should investigate whether long-term interventions targeting FA symptoms can promote healthier food sourcing and meal </w:t>
      </w:r>
      <w:r w:rsidRPr="00A03CB5">
        <w:rPr>
          <w:rFonts w:ascii="Times New Roman" w:eastAsia="Times New Roman" w:hAnsi="Times New Roman" w:cs="Times New Roman"/>
          <w:sz w:val="24"/>
          <w:szCs w:val="24"/>
        </w:rPr>
        <w:lastRenderedPageBreak/>
        <w:t xml:space="preserve">preparation behaviors. </w:t>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b/>
          <w:sz w:val="24"/>
          <w:szCs w:val="24"/>
        </w:rPr>
        <w:t xml:space="preserve">4.1. Implications for Future Research </w:t>
      </w:r>
      <w:r w:rsidRPr="00A03CB5">
        <w:rPr>
          <w:rFonts w:ascii="Times New Roman" w:eastAsia="Times New Roman" w:hAnsi="Times New Roman" w:cs="Times New Roman"/>
          <w:sz w:val="24"/>
          <w:szCs w:val="24"/>
        </w:rPr>
        <w:tab/>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tab/>
        <w:t xml:space="preserve">The findings of this study may have important implications for the development of interventions aimed at reducing FA symptoms. While our results showed a strong positive association between FA symptoms and both HPF consumption and sweet taste preference, further longitudinal research is needed to better understand the direction of these associations over longer periods of time. Such research could help determine whether reducing intake of these foods can effectively manage FA symptoms. Behavioral interventions could focus on increasing awareness of food choices, improving access to healthier food options, and reducing reliance on convenience foods, particularly for individuals with higher FA symptoms. </w:t>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tab/>
        <w:t xml:space="preserve">Furthermore, results underscored the importance of food sources and meal preparation, as individuals with higher FA symptoms were more likely to rely on fast food and ready-made meals. Interventions aimed at improving access to healthier food sources (i.e., supermarkets, farmers markets) may help individuals with FA shift toward healthier dietary patterns. Additionally, advocating for public health policies that incentivize home cooking and reduce the availability of highly processed foods in low-income communities could also play a significant role in addressing FA and its associated eating behaviors. </w:t>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b/>
          <w:sz w:val="24"/>
          <w:szCs w:val="24"/>
        </w:rPr>
        <w:t xml:space="preserve">4.2. Limitations </w:t>
      </w:r>
      <w:r w:rsidRPr="00A03CB5">
        <w:rPr>
          <w:rFonts w:ascii="Times New Roman" w:eastAsia="Times New Roman" w:hAnsi="Times New Roman" w:cs="Times New Roman"/>
          <w:sz w:val="24"/>
          <w:szCs w:val="24"/>
        </w:rPr>
        <w:tab/>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tab/>
        <w:t xml:space="preserve">Although this study had several strengths such as its longitudinal design and use of validated measures, it is important to acknowledge its limitations. Reliance on self-report measures may have introduced recall bias, particularly in the reporting of food intake and meal preparation methods. Future studies should consider the use of more objective data collection of dietary </w:t>
      </w:r>
      <w:proofErr w:type="gramStart"/>
      <w:r w:rsidRPr="00A03CB5">
        <w:rPr>
          <w:rFonts w:ascii="Times New Roman" w:eastAsia="Times New Roman" w:hAnsi="Times New Roman" w:cs="Times New Roman"/>
          <w:sz w:val="24"/>
          <w:szCs w:val="24"/>
        </w:rPr>
        <w:t>intake</w:t>
      </w:r>
      <w:proofErr w:type="gramEnd"/>
      <w:r w:rsidRPr="00A03CB5">
        <w:rPr>
          <w:rFonts w:ascii="Times New Roman" w:eastAsia="Times New Roman" w:hAnsi="Times New Roman" w:cs="Times New Roman"/>
          <w:sz w:val="24"/>
          <w:szCs w:val="24"/>
        </w:rPr>
        <w:t xml:space="preserve">, such as food diaries, to provide more accurate data on eating behaviors. Our sample also consisted of young adults from the U.S. This may limit the generalizability of our findings to other age groups or populations with different cultural and dietary practices. Future studies could explore whether similar relationships between FA symptoms and dietary patterns are seen in other age groups, cultures, or populations with different socioeconomic backgrounds. </w:t>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tab/>
        <w:t xml:space="preserve">Additionally, the lack of significant prospective effects in this study </w:t>
      </w:r>
      <w:proofErr w:type="gramStart"/>
      <w:r w:rsidRPr="00A03CB5">
        <w:rPr>
          <w:rFonts w:ascii="Times New Roman" w:eastAsia="Times New Roman" w:hAnsi="Times New Roman" w:cs="Times New Roman"/>
          <w:sz w:val="24"/>
          <w:szCs w:val="24"/>
        </w:rPr>
        <w:t>suggest</w:t>
      </w:r>
      <w:proofErr w:type="gramEnd"/>
      <w:r w:rsidRPr="00A03CB5">
        <w:rPr>
          <w:rFonts w:ascii="Times New Roman" w:eastAsia="Times New Roman" w:hAnsi="Times New Roman" w:cs="Times New Roman"/>
          <w:sz w:val="24"/>
          <w:szCs w:val="24"/>
        </w:rPr>
        <w:t xml:space="preserve"> that changes in FA symptomatology may not directly predict dietary changes over time. Continuing to explore these associations in longitudinal studies with longer follow-up periods is needed to assess the directionality of effects</w:t>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b/>
          <w:sz w:val="24"/>
          <w:szCs w:val="24"/>
        </w:rPr>
        <w:t>4.3. Conclusion</w:t>
      </w:r>
      <w:r w:rsidRPr="00A03CB5">
        <w:rPr>
          <w:rFonts w:ascii="Times New Roman" w:eastAsia="Times New Roman" w:hAnsi="Times New Roman" w:cs="Times New Roman"/>
          <w:sz w:val="24"/>
          <w:szCs w:val="24"/>
        </w:rPr>
        <w:br/>
      </w:r>
      <w:r w:rsidRPr="00A03CB5">
        <w:rPr>
          <w:rFonts w:ascii="Times New Roman" w:eastAsia="Times New Roman" w:hAnsi="Times New Roman" w:cs="Times New Roman"/>
          <w:sz w:val="24"/>
          <w:szCs w:val="24"/>
        </w:rPr>
        <w:tab/>
        <w:t xml:space="preserve">In conclusion, this study provides evidence that FA is closely linked to dietary patterns characterized by greater HPF consumption, sweet taste preference, and reliance on convenience-oriented meal sources. This highlights the potential importance of addressing these dietary behaviors in interventions aimed at managing FA. As the understanding of FA continues to evolve, incorporating dietary behavior change into FA management could be a promising avenue for improving outcomes in individuals affected by this condition. </w:t>
      </w:r>
    </w:p>
    <w:p w14:paraId="4A3B3CBC" w14:textId="77777777" w:rsidR="006E4B3A" w:rsidRPr="00A03CB5" w:rsidRDefault="006E4B3A">
      <w:pPr>
        <w:spacing w:before="200" w:line="240" w:lineRule="auto"/>
        <w:rPr>
          <w:rFonts w:ascii="Times New Roman" w:eastAsia="Times New Roman" w:hAnsi="Times New Roman" w:cs="Times New Roman"/>
          <w:sz w:val="24"/>
          <w:szCs w:val="24"/>
        </w:rPr>
      </w:pPr>
    </w:p>
    <w:p w14:paraId="5D95E072" w14:textId="77777777" w:rsidR="006E4B3A" w:rsidRPr="00A03CB5" w:rsidRDefault="006E4B3A">
      <w:pPr>
        <w:spacing w:before="200" w:line="240" w:lineRule="auto"/>
        <w:rPr>
          <w:rFonts w:ascii="Times New Roman" w:eastAsia="Times New Roman" w:hAnsi="Times New Roman" w:cs="Times New Roman"/>
          <w:sz w:val="24"/>
          <w:szCs w:val="24"/>
        </w:rPr>
      </w:pPr>
    </w:p>
    <w:p w14:paraId="59D061AF" w14:textId="77777777" w:rsidR="006E4B3A" w:rsidRPr="00A03CB5" w:rsidRDefault="006E4B3A">
      <w:pPr>
        <w:spacing w:before="200" w:line="240" w:lineRule="auto"/>
        <w:rPr>
          <w:rFonts w:ascii="Times New Roman" w:eastAsia="Times New Roman" w:hAnsi="Times New Roman" w:cs="Times New Roman"/>
          <w:sz w:val="24"/>
          <w:szCs w:val="24"/>
        </w:rPr>
      </w:pPr>
    </w:p>
    <w:p w14:paraId="2A406279" w14:textId="77777777" w:rsidR="006E4B3A" w:rsidRPr="00A03CB5" w:rsidRDefault="006E4B3A">
      <w:pPr>
        <w:spacing w:before="200" w:line="240" w:lineRule="auto"/>
        <w:rPr>
          <w:rFonts w:ascii="Times New Roman" w:eastAsia="Times New Roman" w:hAnsi="Times New Roman" w:cs="Times New Roman"/>
          <w:sz w:val="24"/>
          <w:szCs w:val="24"/>
        </w:rPr>
      </w:pPr>
    </w:p>
    <w:p w14:paraId="030E8504" w14:textId="77777777" w:rsidR="006E4B3A" w:rsidRPr="00A03CB5" w:rsidRDefault="006E4B3A">
      <w:pPr>
        <w:spacing w:before="200" w:line="240" w:lineRule="auto"/>
        <w:rPr>
          <w:rFonts w:ascii="Times New Roman" w:eastAsia="Times New Roman" w:hAnsi="Times New Roman" w:cs="Times New Roman"/>
          <w:sz w:val="24"/>
          <w:szCs w:val="24"/>
        </w:rPr>
      </w:pPr>
    </w:p>
    <w:p w14:paraId="5F11A1C0" w14:textId="77777777" w:rsidR="006E4B3A" w:rsidRPr="00A03CB5" w:rsidRDefault="006E4B3A">
      <w:pPr>
        <w:spacing w:before="200" w:line="240" w:lineRule="auto"/>
        <w:rPr>
          <w:rFonts w:ascii="Times New Roman" w:eastAsia="Times New Roman" w:hAnsi="Times New Roman" w:cs="Times New Roman"/>
          <w:sz w:val="24"/>
          <w:szCs w:val="24"/>
        </w:rPr>
      </w:pPr>
    </w:p>
    <w:p w14:paraId="42771E8A" w14:textId="77777777" w:rsidR="006E4B3A" w:rsidRPr="00A03CB5" w:rsidRDefault="006E4B3A">
      <w:pPr>
        <w:spacing w:before="200" w:line="240" w:lineRule="auto"/>
        <w:rPr>
          <w:rFonts w:ascii="Times New Roman" w:eastAsia="Times New Roman" w:hAnsi="Times New Roman" w:cs="Times New Roman"/>
          <w:sz w:val="24"/>
          <w:szCs w:val="24"/>
        </w:rPr>
      </w:pPr>
    </w:p>
    <w:p w14:paraId="6EDB722A" w14:textId="77777777" w:rsidR="006E4B3A" w:rsidRPr="00A03CB5" w:rsidRDefault="006E4B3A">
      <w:pPr>
        <w:spacing w:before="200" w:line="240" w:lineRule="auto"/>
        <w:rPr>
          <w:rFonts w:ascii="Times New Roman" w:eastAsia="Times New Roman" w:hAnsi="Times New Roman" w:cs="Times New Roman"/>
          <w:sz w:val="24"/>
          <w:szCs w:val="24"/>
        </w:rPr>
      </w:pPr>
    </w:p>
    <w:p w14:paraId="73B7B3E2" w14:textId="77777777" w:rsidR="006E4B3A" w:rsidRPr="00A03CB5" w:rsidRDefault="006E4B3A">
      <w:pPr>
        <w:spacing w:before="200" w:line="240" w:lineRule="auto"/>
        <w:rPr>
          <w:rFonts w:ascii="Times New Roman" w:eastAsia="Times New Roman" w:hAnsi="Times New Roman" w:cs="Times New Roman"/>
          <w:sz w:val="24"/>
          <w:szCs w:val="24"/>
        </w:rPr>
      </w:pPr>
    </w:p>
    <w:p w14:paraId="697CE441" w14:textId="77777777" w:rsidR="006E4B3A" w:rsidRPr="00A03CB5" w:rsidRDefault="00000000">
      <w:pPr>
        <w:spacing w:before="200"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Conflict of Interest: The authors declare no conflict of interest.</w:t>
      </w:r>
    </w:p>
    <w:p w14:paraId="774D74E4" w14:textId="77777777" w:rsidR="006E4B3A" w:rsidRPr="00A03CB5" w:rsidRDefault="00000000">
      <w:pPr>
        <w:spacing w:before="200" w:line="240" w:lineRule="auto"/>
        <w:rPr>
          <w:rFonts w:ascii="Times New Roman" w:eastAsia="Times New Roman" w:hAnsi="Times New Roman" w:cs="Times New Roman"/>
          <w:color w:val="1F1F1F"/>
          <w:sz w:val="24"/>
          <w:szCs w:val="24"/>
        </w:rPr>
      </w:pPr>
      <w:r w:rsidRPr="00A03CB5">
        <w:rPr>
          <w:rFonts w:ascii="Times New Roman" w:eastAsia="Times New Roman" w:hAnsi="Times New Roman" w:cs="Times New Roman"/>
          <w:sz w:val="24"/>
          <w:szCs w:val="24"/>
        </w:rPr>
        <w:t xml:space="preserve">Funding sources: This study was supported by the National Institutes of Health (NIH) National Institute of Diabetes and Digestive and Kidney Diseases K23DK128568 (PI: Smith), K01DK124435 (PI: Mason), and the University of Southern California Della Martin Training Grant (PIs: Khalil, Li). </w:t>
      </w:r>
      <w:r w:rsidRPr="00A03CB5">
        <w:rPr>
          <w:rFonts w:ascii="Times New Roman" w:eastAsia="Times New Roman" w:hAnsi="Times New Roman" w:cs="Times New Roman"/>
          <w:color w:val="1F1F1F"/>
          <w:sz w:val="24"/>
          <w:szCs w:val="24"/>
        </w:rPr>
        <w:t xml:space="preserve">Funding sources did not have a role in analysis and interpretation of data, writing of the report or decision to submit the article for publication. </w:t>
      </w:r>
    </w:p>
    <w:p w14:paraId="718A4284" w14:textId="77777777" w:rsidR="006E4B3A" w:rsidRPr="00A03CB5" w:rsidRDefault="00000000">
      <w:pPr>
        <w:spacing w:before="200" w:line="240" w:lineRule="auto"/>
        <w:rPr>
          <w:rFonts w:ascii="Times New Roman" w:eastAsia="Times New Roman" w:hAnsi="Times New Roman" w:cs="Times New Roman"/>
          <w:color w:val="1F1F1F"/>
          <w:sz w:val="24"/>
          <w:szCs w:val="24"/>
        </w:rPr>
      </w:pPr>
      <w:r w:rsidRPr="00A03CB5">
        <w:rPr>
          <w:rFonts w:ascii="Times New Roman" w:eastAsia="Times New Roman" w:hAnsi="Times New Roman" w:cs="Times New Roman"/>
          <w:color w:val="1F1F1F"/>
          <w:sz w:val="24"/>
          <w:szCs w:val="24"/>
        </w:rPr>
        <w:t xml:space="preserve">Ethical Statement: </w:t>
      </w:r>
      <w:r w:rsidRPr="00A03CB5">
        <w:rPr>
          <w:rFonts w:ascii="Times New Roman" w:eastAsia="Times New Roman" w:hAnsi="Times New Roman" w:cs="Times New Roman"/>
          <w:sz w:val="24"/>
          <w:szCs w:val="24"/>
          <w:highlight w:val="white"/>
        </w:rPr>
        <w:t>This research was conducted in accordance with the Declaration of Helsinki. The University of Southern California Institutional Review Board approved the study, and all participants provided informed consent for participation.</w:t>
      </w:r>
    </w:p>
    <w:p w14:paraId="6026AD2D" w14:textId="77777777" w:rsidR="006E4B3A" w:rsidRPr="00A03CB5" w:rsidRDefault="006E4B3A">
      <w:pPr>
        <w:rPr>
          <w:rFonts w:ascii="Times New Roman" w:eastAsia="Times New Roman" w:hAnsi="Times New Roman" w:cs="Times New Roman"/>
          <w:sz w:val="24"/>
          <w:szCs w:val="24"/>
        </w:rPr>
      </w:pPr>
    </w:p>
    <w:p w14:paraId="46CE6E7D" w14:textId="77777777" w:rsidR="006E4B3A" w:rsidRPr="00A03CB5" w:rsidRDefault="00000000">
      <w:pP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Data statement: Data is available from the first author upon request.</w:t>
      </w:r>
    </w:p>
    <w:p w14:paraId="787194C3" w14:textId="77777777" w:rsidR="006E4B3A" w:rsidRPr="00A03CB5" w:rsidRDefault="006E4B3A">
      <w:pPr>
        <w:rPr>
          <w:rFonts w:ascii="Times New Roman" w:eastAsia="Times New Roman" w:hAnsi="Times New Roman" w:cs="Times New Roman"/>
          <w:sz w:val="24"/>
          <w:szCs w:val="24"/>
        </w:rPr>
      </w:pPr>
    </w:p>
    <w:p w14:paraId="3864F780" w14:textId="77777777" w:rsidR="006E4B3A" w:rsidRPr="00A03CB5" w:rsidRDefault="00000000">
      <w:pPr>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CRediT</w:t>
      </w:r>
      <w:proofErr w:type="spellEnd"/>
      <w:r w:rsidRPr="00A03CB5">
        <w:rPr>
          <w:rFonts w:ascii="Times New Roman" w:eastAsia="Times New Roman" w:hAnsi="Times New Roman" w:cs="Times New Roman"/>
          <w:sz w:val="24"/>
          <w:szCs w:val="24"/>
        </w:rPr>
        <w:t xml:space="preserve"> statement:</w:t>
      </w:r>
    </w:p>
    <w:p w14:paraId="1477AA51" w14:textId="77777777" w:rsidR="006E4B3A" w:rsidRPr="00A03CB5" w:rsidRDefault="00000000">
      <w:pP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Z.K. - conceptualization, </w:t>
      </w:r>
      <w:r w:rsidRPr="00A03CB5">
        <w:rPr>
          <w:rFonts w:ascii="Times New Roman" w:eastAsia="Times New Roman" w:hAnsi="Times New Roman" w:cs="Times New Roman"/>
          <w:color w:val="1F1F1F"/>
          <w:sz w:val="24"/>
          <w:szCs w:val="24"/>
        </w:rPr>
        <w:t xml:space="preserve">funding acquisition, investigation, </w:t>
      </w:r>
      <w:r w:rsidRPr="00A03CB5">
        <w:rPr>
          <w:rFonts w:ascii="Times New Roman" w:eastAsia="Times New Roman" w:hAnsi="Times New Roman" w:cs="Times New Roman"/>
          <w:sz w:val="24"/>
          <w:szCs w:val="24"/>
        </w:rPr>
        <w:t>writing-original draft, writing-review and editing</w:t>
      </w:r>
    </w:p>
    <w:p w14:paraId="4DCD9D79" w14:textId="77777777" w:rsidR="006E4B3A" w:rsidRPr="00A03CB5" w:rsidRDefault="00000000">
      <w:pP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S.L. - </w:t>
      </w:r>
      <w:r w:rsidRPr="00A03CB5">
        <w:rPr>
          <w:rFonts w:ascii="Times New Roman" w:eastAsia="Times New Roman" w:hAnsi="Times New Roman" w:cs="Times New Roman"/>
          <w:color w:val="1F1F1F"/>
          <w:sz w:val="24"/>
          <w:szCs w:val="24"/>
        </w:rPr>
        <w:t xml:space="preserve">funding acquisition, investigation, </w:t>
      </w:r>
      <w:r w:rsidRPr="00A03CB5">
        <w:rPr>
          <w:rFonts w:ascii="Times New Roman" w:eastAsia="Times New Roman" w:hAnsi="Times New Roman" w:cs="Times New Roman"/>
          <w:sz w:val="24"/>
          <w:szCs w:val="24"/>
        </w:rPr>
        <w:t>writing-review and editing</w:t>
      </w:r>
    </w:p>
    <w:p w14:paraId="641EFFB3" w14:textId="77777777" w:rsidR="006E4B3A" w:rsidRPr="00A03CB5" w:rsidRDefault="00000000">
      <w:pP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K.S. - conceptualization, formal analysis, writing-original draft, writing-review and editing, supervision</w:t>
      </w:r>
    </w:p>
    <w:p w14:paraId="14446094" w14:textId="77777777" w:rsidR="006E4B3A" w:rsidRPr="00A03CB5" w:rsidRDefault="00000000">
      <w:pP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T.M. - writing-review and editing, supervision</w:t>
      </w:r>
    </w:p>
    <w:p w14:paraId="1E39CC7C" w14:textId="77777777" w:rsidR="006E4B3A" w:rsidRPr="00A03CB5" w:rsidRDefault="006E4B3A">
      <w:pPr>
        <w:rPr>
          <w:rFonts w:ascii="Times New Roman" w:eastAsia="Times New Roman" w:hAnsi="Times New Roman" w:cs="Times New Roman"/>
          <w:sz w:val="24"/>
          <w:szCs w:val="24"/>
        </w:rPr>
      </w:pPr>
    </w:p>
    <w:p w14:paraId="2A6665CC" w14:textId="77777777" w:rsidR="006E4B3A" w:rsidRPr="00A03CB5" w:rsidRDefault="006E4B3A">
      <w:pPr>
        <w:rPr>
          <w:rFonts w:ascii="Times New Roman" w:eastAsia="Times New Roman" w:hAnsi="Times New Roman" w:cs="Times New Roman"/>
          <w:sz w:val="24"/>
          <w:szCs w:val="24"/>
        </w:rPr>
      </w:pPr>
    </w:p>
    <w:p w14:paraId="355C1827" w14:textId="77777777" w:rsidR="006E4B3A" w:rsidRPr="00A03CB5" w:rsidRDefault="006E4B3A">
      <w:pPr>
        <w:rPr>
          <w:rFonts w:ascii="Times New Roman" w:eastAsia="Times New Roman" w:hAnsi="Times New Roman" w:cs="Times New Roman"/>
          <w:sz w:val="24"/>
          <w:szCs w:val="24"/>
        </w:rPr>
      </w:pPr>
    </w:p>
    <w:p w14:paraId="2917703A" w14:textId="77777777" w:rsidR="006E4B3A" w:rsidRPr="00A03CB5" w:rsidRDefault="006E4B3A">
      <w:pPr>
        <w:rPr>
          <w:rFonts w:ascii="Times New Roman" w:eastAsia="Times New Roman" w:hAnsi="Times New Roman" w:cs="Times New Roman"/>
          <w:sz w:val="24"/>
          <w:szCs w:val="24"/>
        </w:rPr>
      </w:pPr>
    </w:p>
    <w:p w14:paraId="033935AB" w14:textId="77777777" w:rsidR="006E4B3A" w:rsidRPr="00A03CB5" w:rsidRDefault="006E4B3A">
      <w:pPr>
        <w:rPr>
          <w:rFonts w:ascii="Times New Roman" w:eastAsia="Times New Roman" w:hAnsi="Times New Roman" w:cs="Times New Roman"/>
          <w:sz w:val="24"/>
          <w:szCs w:val="24"/>
        </w:rPr>
      </w:pPr>
    </w:p>
    <w:p w14:paraId="44CC975F" w14:textId="77777777" w:rsidR="006E4B3A" w:rsidRPr="00A03CB5" w:rsidRDefault="006E4B3A">
      <w:pPr>
        <w:rPr>
          <w:rFonts w:ascii="Times New Roman" w:eastAsia="Times New Roman" w:hAnsi="Times New Roman" w:cs="Times New Roman"/>
          <w:sz w:val="24"/>
          <w:szCs w:val="24"/>
        </w:rPr>
      </w:pPr>
    </w:p>
    <w:p w14:paraId="77D7DE78" w14:textId="77777777" w:rsidR="006E4B3A" w:rsidRPr="00A03CB5" w:rsidRDefault="006E4B3A">
      <w:pPr>
        <w:rPr>
          <w:rFonts w:ascii="Times New Roman" w:eastAsia="Times New Roman" w:hAnsi="Times New Roman" w:cs="Times New Roman"/>
          <w:sz w:val="24"/>
          <w:szCs w:val="24"/>
        </w:rPr>
      </w:pPr>
    </w:p>
    <w:p w14:paraId="2F7E92F6" w14:textId="77777777" w:rsidR="006E4B3A" w:rsidRPr="00A03CB5" w:rsidRDefault="006E4B3A">
      <w:pPr>
        <w:rPr>
          <w:rFonts w:ascii="Times New Roman" w:eastAsia="Times New Roman" w:hAnsi="Times New Roman" w:cs="Times New Roman"/>
          <w:sz w:val="24"/>
          <w:szCs w:val="24"/>
        </w:rPr>
      </w:pPr>
    </w:p>
    <w:p w14:paraId="25D8BA77" w14:textId="77777777" w:rsidR="006E4B3A" w:rsidRPr="00A03CB5" w:rsidRDefault="006E4B3A">
      <w:pPr>
        <w:rPr>
          <w:rFonts w:ascii="Times New Roman" w:eastAsia="Times New Roman" w:hAnsi="Times New Roman" w:cs="Times New Roman"/>
          <w:sz w:val="24"/>
          <w:szCs w:val="24"/>
        </w:rPr>
      </w:pPr>
    </w:p>
    <w:p w14:paraId="06762B92" w14:textId="77777777" w:rsidR="006E4B3A" w:rsidRPr="00A03CB5" w:rsidRDefault="006E4B3A">
      <w:pPr>
        <w:rPr>
          <w:rFonts w:ascii="Times New Roman" w:eastAsia="Times New Roman" w:hAnsi="Times New Roman" w:cs="Times New Roman"/>
          <w:sz w:val="24"/>
          <w:szCs w:val="24"/>
        </w:rPr>
      </w:pPr>
    </w:p>
    <w:p w14:paraId="7E722653" w14:textId="77777777" w:rsidR="006E4B3A" w:rsidRPr="00A03CB5" w:rsidRDefault="006E4B3A">
      <w:pPr>
        <w:rPr>
          <w:rFonts w:ascii="Times New Roman" w:eastAsia="Times New Roman" w:hAnsi="Times New Roman" w:cs="Times New Roman"/>
          <w:sz w:val="24"/>
          <w:szCs w:val="24"/>
        </w:rPr>
      </w:pPr>
    </w:p>
    <w:p w14:paraId="7C353762" w14:textId="77777777" w:rsidR="006E4B3A" w:rsidRPr="00A03CB5" w:rsidRDefault="006E4B3A">
      <w:pPr>
        <w:rPr>
          <w:rFonts w:ascii="Times New Roman" w:eastAsia="Times New Roman" w:hAnsi="Times New Roman" w:cs="Times New Roman"/>
          <w:sz w:val="24"/>
          <w:szCs w:val="24"/>
        </w:rPr>
      </w:pPr>
    </w:p>
    <w:p w14:paraId="209AA6C3" w14:textId="77777777" w:rsidR="006E4B3A" w:rsidRPr="00A03CB5" w:rsidRDefault="006E4B3A">
      <w:pPr>
        <w:rPr>
          <w:rFonts w:ascii="Times New Roman" w:eastAsia="Times New Roman" w:hAnsi="Times New Roman" w:cs="Times New Roman"/>
          <w:sz w:val="24"/>
          <w:szCs w:val="24"/>
        </w:rPr>
      </w:pPr>
    </w:p>
    <w:p w14:paraId="67FC3990" w14:textId="77777777" w:rsidR="006E4B3A" w:rsidRPr="00A03CB5" w:rsidRDefault="006E4B3A">
      <w:pPr>
        <w:rPr>
          <w:rFonts w:ascii="Times New Roman" w:eastAsia="Times New Roman" w:hAnsi="Times New Roman" w:cs="Times New Roman"/>
          <w:sz w:val="24"/>
          <w:szCs w:val="24"/>
        </w:rPr>
      </w:pPr>
    </w:p>
    <w:p w14:paraId="52394864" w14:textId="77777777" w:rsidR="006E4B3A" w:rsidRPr="00A03CB5" w:rsidRDefault="006E4B3A">
      <w:pPr>
        <w:rPr>
          <w:rFonts w:ascii="Times New Roman" w:eastAsia="Times New Roman" w:hAnsi="Times New Roman" w:cs="Times New Roman"/>
          <w:sz w:val="24"/>
          <w:szCs w:val="24"/>
        </w:rPr>
      </w:pPr>
    </w:p>
    <w:p w14:paraId="7A9B0090" w14:textId="77777777" w:rsidR="006E4B3A" w:rsidRPr="00A03CB5" w:rsidRDefault="006E4B3A">
      <w:pPr>
        <w:rPr>
          <w:rFonts w:ascii="Times New Roman" w:eastAsia="Times New Roman" w:hAnsi="Times New Roman" w:cs="Times New Roman"/>
          <w:sz w:val="24"/>
          <w:szCs w:val="24"/>
        </w:rPr>
      </w:pPr>
    </w:p>
    <w:p w14:paraId="27718528" w14:textId="77777777" w:rsidR="006E4B3A" w:rsidRPr="00A03CB5" w:rsidRDefault="006E4B3A">
      <w:pPr>
        <w:rPr>
          <w:rFonts w:ascii="Times New Roman" w:eastAsia="Times New Roman" w:hAnsi="Times New Roman" w:cs="Times New Roman"/>
          <w:sz w:val="24"/>
          <w:szCs w:val="24"/>
        </w:rPr>
      </w:pPr>
    </w:p>
    <w:p w14:paraId="490E1823" w14:textId="77777777" w:rsidR="006E4B3A" w:rsidRPr="00A03CB5" w:rsidRDefault="006E4B3A">
      <w:pPr>
        <w:rPr>
          <w:rFonts w:ascii="Times New Roman" w:eastAsia="Times New Roman" w:hAnsi="Times New Roman" w:cs="Times New Roman"/>
          <w:sz w:val="24"/>
          <w:szCs w:val="24"/>
        </w:rPr>
      </w:pPr>
    </w:p>
    <w:p w14:paraId="3CC0D0EE" w14:textId="77777777" w:rsidR="006E4B3A" w:rsidRPr="00A03CB5" w:rsidRDefault="006E4B3A">
      <w:pPr>
        <w:rPr>
          <w:rFonts w:ascii="Times New Roman" w:eastAsia="Times New Roman" w:hAnsi="Times New Roman" w:cs="Times New Roman"/>
          <w:sz w:val="24"/>
          <w:szCs w:val="24"/>
        </w:rPr>
      </w:pPr>
    </w:p>
    <w:p w14:paraId="4C1C089C" w14:textId="77777777" w:rsidR="006E4B3A" w:rsidRPr="00A03CB5" w:rsidRDefault="006E4B3A">
      <w:pPr>
        <w:rPr>
          <w:rFonts w:ascii="Times New Roman" w:eastAsia="Times New Roman" w:hAnsi="Times New Roman" w:cs="Times New Roman"/>
          <w:sz w:val="24"/>
          <w:szCs w:val="24"/>
        </w:rPr>
      </w:pPr>
    </w:p>
    <w:p w14:paraId="6A8333D1" w14:textId="77777777" w:rsidR="006E4B3A" w:rsidRPr="00A03CB5" w:rsidRDefault="006E4B3A">
      <w:pPr>
        <w:rPr>
          <w:rFonts w:ascii="Times New Roman" w:eastAsia="Times New Roman" w:hAnsi="Times New Roman" w:cs="Times New Roman"/>
          <w:sz w:val="24"/>
          <w:szCs w:val="24"/>
        </w:rPr>
      </w:pPr>
    </w:p>
    <w:p w14:paraId="4667CF63" w14:textId="77777777" w:rsidR="006E4B3A" w:rsidRPr="00A03CB5" w:rsidRDefault="00000000">
      <w:pPr>
        <w:numPr>
          <w:ilvl w:val="0"/>
          <w:numId w:val="9"/>
        </w:numPr>
        <w:spacing w:before="200" w:line="240" w:lineRule="auto"/>
        <w:jc w:val="center"/>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t>References</w:t>
      </w:r>
    </w:p>
    <w:p w14:paraId="178BE97A"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Alkerwi</w:t>
      </w:r>
      <w:proofErr w:type="spellEnd"/>
      <w:r w:rsidRPr="00A03CB5">
        <w:rPr>
          <w:rFonts w:ascii="Times New Roman" w:eastAsia="Times New Roman" w:hAnsi="Times New Roman" w:cs="Times New Roman"/>
          <w:sz w:val="24"/>
          <w:szCs w:val="24"/>
        </w:rPr>
        <w:t xml:space="preserve">, A., Crichton, G. E., &amp; Hébert, J. R. (2014). Consumption of ready-made meals and increased risk of obesity: Findings from the Observation of Cardiovascular Risk Factors in Luxembourg (ORISCAV-LUX) study. </w:t>
      </w:r>
      <w:r w:rsidRPr="00A03CB5">
        <w:rPr>
          <w:rFonts w:ascii="Times New Roman" w:eastAsia="Times New Roman" w:hAnsi="Times New Roman" w:cs="Times New Roman"/>
          <w:i/>
          <w:sz w:val="24"/>
          <w:szCs w:val="24"/>
        </w:rPr>
        <w:t>British Journal of Nutrition, 112</w:t>
      </w:r>
      <w:r w:rsidRPr="00A03CB5">
        <w:rPr>
          <w:rFonts w:ascii="Times New Roman" w:eastAsia="Times New Roman" w:hAnsi="Times New Roman" w:cs="Times New Roman"/>
          <w:sz w:val="24"/>
          <w:szCs w:val="24"/>
        </w:rPr>
        <w:t xml:space="preserve">(4), 513–520. </w:t>
      </w:r>
      <w:hyperlink r:id="rId9">
        <w:r w:rsidR="006E4B3A" w:rsidRPr="00A03CB5">
          <w:rPr>
            <w:rFonts w:ascii="Times New Roman" w:eastAsia="Times New Roman" w:hAnsi="Times New Roman" w:cs="Times New Roman"/>
            <w:sz w:val="24"/>
            <w:szCs w:val="24"/>
          </w:rPr>
          <w:t>https://doi.org/10.1017/S0007114514001040</w:t>
        </w:r>
      </w:hyperlink>
    </w:p>
    <w:p w14:paraId="6D889EFF" w14:textId="77777777" w:rsidR="006E4B3A" w:rsidRPr="00A03CB5" w:rsidRDefault="006E4B3A">
      <w:pPr>
        <w:spacing w:line="240" w:lineRule="auto"/>
        <w:jc w:val="both"/>
        <w:rPr>
          <w:rFonts w:ascii="Times New Roman" w:eastAsia="Times New Roman" w:hAnsi="Times New Roman" w:cs="Times New Roman"/>
          <w:sz w:val="24"/>
          <w:szCs w:val="24"/>
        </w:rPr>
      </w:pPr>
    </w:p>
    <w:p w14:paraId="2D4886E3"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Ayala, G. X., </w:t>
      </w:r>
      <w:proofErr w:type="spellStart"/>
      <w:r w:rsidRPr="00A03CB5">
        <w:rPr>
          <w:rFonts w:ascii="Times New Roman" w:eastAsia="Times New Roman" w:hAnsi="Times New Roman" w:cs="Times New Roman"/>
          <w:sz w:val="24"/>
          <w:szCs w:val="24"/>
        </w:rPr>
        <w:t>Baquero</w:t>
      </w:r>
      <w:proofErr w:type="spellEnd"/>
      <w:r w:rsidRPr="00A03CB5">
        <w:rPr>
          <w:rFonts w:ascii="Times New Roman" w:eastAsia="Times New Roman" w:hAnsi="Times New Roman" w:cs="Times New Roman"/>
          <w:sz w:val="24"/>
          <w:szCs w:val="24"/>
        </w:rPr>
        <w:t xml:space="preserve">, B., &amp; Klinger, S. (2008). A systematic review of the relationship between acculturation and diet among Latinos in the United States: Implications for future research. </w:t>
      </w:r>
      <w:r w:rsidRPr="00A03CB5">
        <w:rPr>
          <w:rFonts w:ascii="Times New Roman" w:eastAsia="Times New Roman" w:hAnsi="Times New Roman" w:cs="Times New Roman"/>
          <w:i/>
          <w:sz w:val="24"/>
          <w:szCs w:val="24"/>
        </w:rPr>
        <w:t>Obesity, 16</w:t>
      </w:r>
      <w:r w:rsidRPr="00A03CB5">
        <w:rPr>
          <w:rFonts w:ascii="Times New Roman" w:eastAsia="Times New Roman" w:hAnsi="Times New Roman" w:cs="Times New Roman"/>
          <w:sz w:val="24"/>
          <w:szCs w:val="24"/>
        </w:rPr>
        <w:t xml:space="preserve">(6), 1342–1346. </w:t>
      </w:r>
      <w:hyperlink r:id="rId10">
        <w:r w:rsidR="006E4B3A" w:rsidRPr="00A03CB5">
          <w:rPr>
            <w:rFonts w:ascii="Times New Roman" w:eastAsia="Times New Roman" w:hAnsi="Times New Roman" w:cs="Times New Roman"/>
            <w:sz w:val="24"/>
            <w:szCs w:val="24"/>
          </w:rPr>
          <w:t>https://doi.org/10.1038/oby.2008.34</w:t>
        </w:r>
      </w:hyperlink>
    </w:p>
    <w:p w14:paraId="526B7BAB" w14:textId="77777777" w:rsidR="006E4B3A" w:rsidRPr="00A03CB5" w:rsidRDefault="006E4B3A">
      <w:pPr>
        <w:spacing w:line="240" w:lineRule="auto"/>
        <w:jc w:val="both"/>
        <w:rPr>
          <w:rFonts w:ascii="Times New Roman" w:eastAsia="Times New Roman" w:hAnsi="Times New Roman" w:cs="Times New Roman"/>
          <w:sz w:val="24"/>
          <w:szCs w:val="24"/>
        </w:rPr>
      </w:pPr>
    </w:p>
    <w:p w14:paraId="00743AB9"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Ayaz, A., </w:t>
      </w:r>
      <w:proofErr w:type="spellStart"/>
      <w:r w:rsidRPr="00A03CB5">
        <w:rPr>
          <w:rFonts w:ascii="Times New Roman" w:eastAsia="Times New Roman" w:hAnsi="Times New Roman" w:cs="Times New Roman"/>
          <w:sz w:val="24"/>
          <w:szCs w:val="24"/>
        </w:rPr>
        <w:t>Nergiz</w:t>
      </w:r>
      <w:proofErr w:type="spellEnd"/>
      <w:r w:rsidRPr="00A03CB5">
        <w:rPr>
          <w:rFonts w:ascii="Times New Roman" w:eastAsia="Times New Roman" w:hAnsi="Times New Roman" w:cs="Times New Roman"/>
          <w:sz w:val="24"/>
          <w:szCs w:val="24"/>
        </w:rPr>
        <w:t xml:space="preserve">-Unal, R., </w:t>
      </w:r>
      <w:proofErr w:type="spellStart"/>
      <w:r w:rsidRPr="00A03CB5">
        <w:rPr>
          <w:rFonts w:ascii="Times New Roman" w:eastAsia="Times New Roman" w:hAnsi="Times New Roman" w:cs="Times New Roman"/>
          <w:sz w:val="24"/>
          <w:szCs w:val="24"/>
        </w:rPr>
        <w:t>Dedebayraktar</w:t>
      </w:r>
      <w:proofErr w:type="spellEnd"/>
      <w:r w:rsidRPr="00A03CB5">
        <w:rPr>
          <w:rFonts w:ascii="Times New Roman" w:eastAsia="Times New Roman" w:hAnsi="Times New Roman" w:cs="Times New Roman"/>
          <w:sz w:val="24"/>
          <w:szCs w:val="24"/>
        </w:rPr>
        <w:t xml:space="preserve">, D., Akyol, A., </w:t>
      </w:r>
      <w:proofErr w:type="spellStart"/>
      <w:r w:rsidRPr="00A03CB5">
        <w:rPr>
          <w:rFonts w:ascii="Times New Roman" w:eastAsia="Times New Roman" w:hAnsi="Times New Roman" w:cs="Times New Roman"/>
          <w:sz w:val="24"/>
          <w:szCs w:val="24"/>
        </w:rPr>
        <w:t>Pekcan</w:t>
      </w:r>
      <w:proofErr w:type="spellEnd"/>
      <w:r w:rsidRPr="00A03CB5">
        <w:rPr>
          <w:rFonts w:ascii="Times New Roman" w:eastAsia="Times New Roman" w:hAnsi="Times New Roman" w:cs="Times New Roman"/>
          <w:sz w:val="24"/>
          <w:szCs w:val="24"/>
        </w:rPr>
        <w:t xml:space="preserve">, G., Besler, H. T., &amp; Aksoy, B. (2018). How does food addiction influence dietary intake profile? </w:t>
      </w:r>
      <w:proofErr w:type="spellStart"/>
      <w:r w:rsidRPr="00A03CB5">
        <w:rPr>
          <w:rFonts w:ascii="Times New Roman" w:eastAsia="Times New Roman" w:hAnsi="Times New Roman" w:cs="Times New Roman"/>
          <w:i/>
          <w:sz w:val="24"/>
          <w:szCs w:val="24"/>
        </w:rPr>
        <w:t>PLoS</w:t>
      </w:r>
      <w:proofErr w:type="spellEnd"/>
      <w:r w:rsidRPr="00A03CB5">
        <w:rPr>
          <w:rFonts w:ascii="Times New Roman" w:eastAsia="Times New Roman" w:hAnsi="Times New Roman" w:cs="Times New Roman"/>
          <w:i/>
          <w:sz w:val="24"/>
          <w:szCs w:val="24"/>
        </w:rPr>
        <w:t xml:space="preserve"> ONE, 13</w:t>
      </w:r>
      <w:r w:rsidRPr="00A03CB5">
        <w:rPr>
          <w:rFonts w:ascii="Times New Roman" w:eastAsia="Times New Roman" w:hAnsi="Times New Roman" w:cs="Times New Roman"/>
          <w:sz w:val="24"/>
          <w:szCs w:val="24"/>
        </w:rPr>
        <w:t xml:space="preserve">(4), e0195541. </w:t>
      </w:r>
      <w:hyperlink r:id="rId11">
        <w:r w:rsidR="006E4B3A" w:rsidRPr="00A03CB5">
          <w:rPr>
            <w:rFonts w:ascii="Times New Roman" w:eastAsia="Times New Roman" w:hAnsi="Times New Roman" w:cs="Times New Roman"/>
            <w:sz w:val="24"/>
            <w:szCs w:val="24"/>
          </w:rPr>
          <w:t>https://doi.org/10.1371/journal.pone.0195541</w:t>
        </w:r>
      </w:hyperlink>
    </w:p>
    <w:p w14:paraId="05FD7865" w14:textId="77777777" w:rsidR="006E4B3A" w:rsidRPr="00A03CB5" w:rsidRDefault="006E4B3A">
      <w:pPr>
        <w:spacing w:line="240" w:lineRule="auto"/>
        <w:jc w:val="both"/>
        <w:rPr>
          <w:rFonts w:ascii="Times New Roman" w:eastAsia="Times New Roman" w:hAnsi="Times New Roman" w:cs="Times New Roman"/>
          <w:sz w:val="24"/>
          <w:szCs w:val="24"/>
        </w:rPr>
      </w:pPr>
    </w:p>
    <w:p w14:paraId="68005C1C"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Carr, M. M., Lawson, J. L., Wiedemann, A. A., &amp; Barnes, R. D. (2021). Examining impairment and distress from food addiction across demographic and weight groups. Eating behaviors, 43, 101574.</w:t>
      </w:r>
    </w:p>
    <w:p w14:paraId="70DA83F6" w14:textId="77777777" w:rsidR="006E4B3A" w:rsidRPr="00A03CB5" w:rsidRDefault="006E4B3A">
      <w:pPr>
        <w:spacing w:line="240" w:lineRule="auto"/>
        <w:jc w:val="both"/>
        <w:rPr>
          <w:rFonts w:ascii="Times New Roman" w:eastAsia="Times New Roman" w:hAnsi="Times New Roman" w:cs="Times New Roman"/>
          <w:sz w:val="24"/>
          <w:szCs w:val="24"/>
        </w:rPr>
      </w:pPr>
    </w:p>
    <w:p w14:paraId="0A05582D"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Drewnowski</w:t>
      </w:r>
      <w:proofErr w:type="spellEnd"/>
      <w:r w:rsidRPr="00A03CB5">
        <w:rPr>
          <w:rFonts w:ascii="Times New Roman" w:eastAsia="Times New Roman" w:hAnsi="Times New Roman" w:cs="Times New Roman"/>
          <w:sz w:val="24"/>
          <w:szCs w:val="24"/>
        </w:rPr>
        <w:t xml:space="preserve">, A., &amp; Specter, S. E. (2012). Poverty and obesity: The role of energy density and energy costs. </w:t>
      </w:r>
      <w:r w:rsidRPr="00A03CB5">
        <w:rPr>
          <w:rFonts w:ascii="Times New Roman" w:eastAsia="Times New Roman" w:hAnsi="Times New Roman" w:cs="Times New Roman"/>
          <w:i/>
          <w:sz w:val="24"/>
          <w:szCs w:val="24"/>
        </w:rPr>
        <w:t>American Journal of Clinical Nutrition, 79</w:t>
      </w:r>
      <w:r w:rsidRPr="00A03CB5">
        <w:rPr>
          <w:rFonts w:ascii="Times New Roman" w:eastAsia="Times New Roman" w:hAnsi="Times New Roman" w:cs="Times New Roman"/>
          <w:sz w:val="24"/>
          <w:szCs w:val="24"/>
        </w:rPr>
        <w:t xml:space="preserve">(1), 6–16. </w:t>
      </w:r>
      <w:hyperlink r:id="rId12">
        <w:r w:rsidR="006E4B3A" w:rsidRPr="00A03CB5">
          <w:rPr>
            <w:rFonts w:ascii="Times New Roman" w:eastAsia="Times New Roman" w:hAnsi="Times New Roman" w:cs="Times New Roman"/>
            <w:sz w:val="24"/>
            <w:szCs w:val="24"/>
          </w:rPr>
          <w:t>https://doi.org/10.3945/ajcn.2008.26795</w:t>
        </w:r>
      </w:hyperlink>
    </w:p>
    <w:p w14:paraId="0A1467BB" w14:textId="77777777" w:rsidR="006E4B3A" w:rsidRPr="00A03CB5" w:rsidRDefault="006E4B3A">
      <w:pPr>
        <w:spacing w:line="240" w:lineRule="auto"/>
        <w:jc w:val="both"/>
        <w:rPr>
          <w:rFonts w:ascii="Times New Roman" w:eastAsia="Times New Roman" w:hAnsi="Times New Roman" w:cs="Times New Roman"/>
          <w:sz w:val="24"/>
          <w:szCs w:val="24"/>
        </w:rPr>
      </w:pPr>
    </w:p>
    <w:p w14:paraId="4BDC18F2"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Erinosho</w:t>
      </w:r>
      <w:proofErr w:type="spellEnd"/>
      <w:r w:rsidRPr="00A03CB5">
        <w:rPr>
          <w:rFonts w:ascii="Times New Roman" w:eastAsia="Times New Roman" w:hAnsi="Times New Roman" w:cs="Times New Roman"/>
          <w:sz w:val="24"/>
          <w:szCs w:val="24"/>
        </w:rPr>
        <w:t xml:space="preserve"> TO, Pinard CA, </w:t>
      </w:r>
      <w:proofErr w:type="spellStart"/>
      <w:r w:rsidRPr="00A03CB5">
        <w:rPr>
          <w:rFonts w:ascii="Times New Roman" w:eastAsia="Times New Roman" w:hAnsi="Times New Roman" w:cs="Times New Roman"/>
          <w:sz w:val="24"/>
          <w:szCs w:val="24"/>
        </w:rPr>
        <w:t>Nebeling</w:t>
      </w:r>
      <w:proofErr w:type="spellEnd"/>
      <w:r w:rsidRPr="00A03CB5">
        <w:rPr>
          <w:rFonts w:ascii="Times New Roman" w:eastAsia="Times New Roman" w:hAnsi="Times New Roman" w:cs="Times New Roman"/>
          <w:sz w:val="24"/>
          <w:szCs w:val="24"/>
        </w:rPr>
        <w:t xml:space="preserve"> LC, et al. Development and implementation of the National Cancer Institute’s Food Attitudes and Behaviors Survey to assess correlates of fruit and vegetable intake in adults. </w:t>
      </w:r>
      <w:proofErr w:type="spellStart"/>
      <w:r w:rsidRPr="00A03CB5">
        <w:rPr>
          <w:rFonts w:ascii="Times New Roman" w:eastAsia="Times New Roman" w:hAnsi="Times New Roman" w:cs="Times New Roman"/>
          <w:sz w:val="24"/>
          <w:szCs w:val="24"/>
        </w:rPr>
        <w:t>PLoS</w:t>
      </w:r>
      <w:proofErr w:type="spellEnd"/>
      <w:r w:rsidRPr="00A03CB5">
        <w:rPr>
          <w:rFonts w:ascii="Times New Roman" w:eastAsia="Times New Roman" w:hAnsi="Times New Roman" w:cs="Times New Roman"/>
          <w:sz w:val="24"/>
          <w:szCs w:val="24"/>
        </w:rPr>
        <w:t xml:space="preserve"> One. 2015;10(2</w:t>
      </w:r>
      <w:proofErr w:type="gramStart"/>
      <w:r w:rsidRPr="00A03CB5">
        <w:rPr>
          <w:rFonts w:ascii="Times New Roman" w:eastAsia="Times New Roman" w:hAnsi="Times New Roman" w:cs="Times New Roman"/>
          <w:sz w:val="24"/>
          <w:szCs w:val="24"/>
        </w:rPr>
        <w:t>):e</w:t>
      </w:r>
      <w:proofErr w:type="gramEnd"/>
      <w:r w:rsidRPr="00A03CB5">
        <w:rPr>
          <w:rFonts w:ascii="Times New Roman" w:eastAsia="Times New Roman" w:hAnsi="Times New Roman" w:cs="Times New Roman"/>
          <w:sz w:val="24"/>
          <w:szCs w:val="24"/>
        </w:rPr>
        <w:t xml:space="preserve">0115017. </w:t>
      </w:r>
      <w:hyperlink r:id="rId13">
        <w:r w:rsidR="006E4B3A" w:rsidRPr="00A03CB5">
          <w:rPr>
            <w:rFonts w:ascii="Times New Roman" w:eastAsia="Times New Roman" w:hAnsi="Times New Roman" w:cs="Times New Roman"/>
            <w:sz w:val="24"/>
            <w:szCs w:val="24"/>
          </w:rPr>
          <w:t>https://doi.org/10.1371/journal.pone.0115017</w:t>
        </w:r>
      </w:hyperlink>
      <w:r w:rsidRPr="00A03CB5">
        <w:rPr>
          <w:rFonts w:ascii="Times New Roman" w:eastAsia="Times New Roman" w:hAnsi="Times New Roman" w:cs="Times New Roman"/>
          <w:sz w:val="24"/>
          <w:szCs w:val="24"/>
        </w:rPr>
        <w:t>.</w:t>
      </w:r>
    </w:p>
    <w:p w14:paraId="55B5D59A" w14:textId="77777777" w:rsidR="006E4B3A" w:rsidRPr="00A03CB5" w:rsidRDefault="006E4B3A">
      <w:pPr>
        <w:spacing w:line="240" w:lineRule="auto"/>
        <w:jc w:val="both"/>
        <w:rPr>
          <w:rFonts w:ascii="Times New Roman" w:eastAsia="Times New Roman" w:hAnsi="Times New Roman" w:cs="Times New Roman"/>
          <w:sz w:val="24"/>
          <w:szCs w:val="24"/>
        </w:rPr>
      </w:pPr>
    </w:p>
    <w:p w14:paraId="3BD05F0B"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Garcia, F. D., </w:t>
      </w:r>
      <w:proofErr w:type="spellStart"/>
      <w:r w:rsidRPr="00A03CB5">
        <w:rPr>
          <w:rFonts w:ascii="Times New Roman" w:eastAsia="Times New Roman" w:hAnsi="Times New Roman" w:cs="Times New Roman"/>
          <w:sz w:val="24"/>
          <w:szCs w:val="24"/>
        </w:rPr>
        <w:t>Thankam</w:t>
      </w:r>
      <w:proofErr w:type="spellEnd"/>
      <w:r w:rsidRPr="00A03CB5">
        <w:rPr>
          <w:rFonts w:ascii="Times New Roman" w:eastAsia="Times New Roman" w:hAnsi="Times New Roman" w:cs="Times New Roman"/>
          <w:sz w:val="24"/>
          <w:szCs w:val="24"/>
        </w:rPr>
        <w:t xml:space="preserve">, S. K., &amp; Hinojosa, M. (2012). Is food addiction a valid phenotype of obesity? </w:t>
      </w:r>
      <w:r w:rsidRPr="00A03CB5">
        <w:rPr>
          <w:rFonts w:ascii="Times New Roman" w:eastAsia="Times New Roman" w:hAnsi="Times New Roman" w:cs="Times New Roman"/>
          <w:i/>
          <w:sz w:val="24"/>
          <w:szCs w:val="24"/>
        </w:rPr>
        <w:t>Obesity Surgery, 22</w:t>
      </w:r>
      <w:r w:rsidRPr="00A03CB5">
        <w:rPr>
          <w:rFonts w:ascii="Times New Roman" w:eastAsia="Times New Roman" w:hAnsi="Times New Roman" w:cs="Times New Roman"/>
          <w:sz w:val="24"/>
          <w:szCs w:val="24"/>
        </w:rPr>
        <w:t>(8), 1193–1199. https://doi.org/10.1007/s11695-012-0601-8</w:t>
      </w:r>
    </w:p>
    <w:p w14:paraId="43DB0AA1" w14:textId="77777777" w:rsidR="006E4B3A" w:rsidRPr="00A03CB5" w:rsidRDefault="006E4B3A">
      <w:pPr>
        <w:spacing w:line="240" w:lineRule="auto"/>
        <w:jc w:val="both"/>
        <w:rPr>
          <w:rFonts w:ascii="Times New Roman" w:eastAsia="Times New Roman" w:hAnsi="Times New Roman" w:cs="Times New Roman"/>
          <w:sz w:val="24"/>
          <w:szCs w:val="24"/>
        </w:rPr>
      </w:pPr>
    </w:p>
    <w:p w14:paraId="45338FF7"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A. N., Corbin, W. R., &amp; Brownell, K. D. (2009). Food addiction: An examination of the diagnostic criteria for dependence. </w:t>
      </w:r>
      <w:r w:rsidRPr="00A03CB5">
        <w:rPr>
          <w:rFonts w:ascii="Times New Roman" w:eastAsia="Times New Roman" w:hAnsi="Times New Roman" w:cs="Times New Roman"/>
          <w:i/>
          <w:sz w:val="24"/>
          <w:szCs w:val="24"/>
        </w:rPr>
        <w:t>Journal of Addiction Medicine, 3</w:t>
      </w:r>
      <w:r w:rsidRPr="00A03CB5">
        <w:rPr>
          <w:rFonts w:ascii="Times New Roman" w:eastAsia="Times New Roman" w:hAnsi="Times New Roman" w:cs="Times New Roman"/>
          <w:sz w:val="24"/>
          <w:szCs w:val="24"/>
        </w:rPr>
        <w:t xml:space="preserve">(1), 1–7. </w:t>
      </w:r>
      <w:hyperlink r:id="rId14">
        <w:r w:rsidR="006E4B3A" w:rsidRPr="00A03CB5">
          <w:rPr>
            <w:rFonts w:ascii="Times New Roman" w:eastAsia="Times New Roman" w:hAnsi="Times New Roman" w:cs="Times New Roman"/>
            <w:sz w:val="24"/>
            <w:szCs w:val="24"/>
          </w:rPr>
          <w:t>https://doi.org/10.1097/ADM.0b013e318193c993</w:t>
        </w:r>
      </w:hyperlink>
    </w:p>
    <w:p w14:paraId="6626C986" w14:textId="77777777" w:rsidR="006E4B3A" w:rsidRPr="00A03CB5" w:rsidRDefault="006E4B3A">
      <w:pPr>
        <w:spacing w:line="240" w:lineRule="auto"/>
        <w:jc w:val="both"/>
        <w:rPr>
          <w:rFonts w:ascii="Times New Roman" w:eastAsia="Times New Roman" w:hAnsi="Times New Roman" w:cs="Times New Roman"/>
          <w:sz w:val="24"/>
          <w:szCs w:val="24"/>
        </w:rPr>
      </w:pPr>
    </w:p>
    <w:p w14:paraId="790E0EDD"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A. N., Corbin, W. R., &amp; Brownell, K. D. (2009). Preliminary validation of the Yale Food Addiction Scale. </w:t>
      </w:r>
      <w:r w:rsidRPr="00A03CB5">
        <w:rPr>
          <w:rFonts w:ascii="Times New Roman" w:eastAsia="Times New Roman" w:hAnsi="Times New Roman" w:cs="Times New Roman"/>
          <w:i/>
          <w:sz w:val="24"/>
          <w:szCs w:val="24"/>
        </w:rPr>
        <w:t>Appetite, 52</w:t>
      </w:r>
      <w:r w:rsidRPr="00A03CB5">
        <w:rPr>
          <w:rFonts w:ascii="Times New Roman" w:eastAsia="Times New Roman" w:hAnsi="Times New Roman" w:cs="Times New Roman"/>
          <w:sz w:val="24"/>
          <w:szCs w:val="24"/>
        </w:rPr>
        <w:t>(2), 430–436. https://doi.org/10.1016/j.appet.2008.12.003</w:t>
      </w:r>
    </w:p>
    <w:p w14:paraId="2B5D37C9" w14:textId="77777777" w:rsidR="006E4B3A" w:rsidRPr="00A03CB5" w:rsidRDefault="006E4B3A">
      <w:pPr>
        <w:spacing w:line="240" w:lineRule="auto"/>
        <w:jc w:val="both"/>
        <w:rPr>
          <w:rFonts w:ascii="Times New Roman" w:eastAsia="Times New Roman" w:hAnsi="Times New Roman" w:cs="Times New Roman"/>
          <w:sz w:val="24"/>
          <w:szCs w:val="24"/>
        </w:rPr>
      </w:pPr>
    </w:p>
    <w:p w14:paraId="3231EB78"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A. N., White, M. A., </w:t>
      </w:r>
      <w:proofErr w:type="spellStart"/>
      <w:r w:rsidRPr="00A03CB5">
        <w:rPr>
          <w:rFonts w:ascii="Times New Roman" w:eastAsia="Times New Roman" w:hAnsi="Times New Roman" w:cs="Times New Roman"/>
          <w:sz w:val="24"/>
          <w:szCs w:val="24"/>
        </w:rPr>
        <w:t>Masheb</w:t>
      </w:r>
      <w:proofErr w:type="spellEnd"/>
      <w:r w:rsidRPr="00A03CB5">
        <w:rPr>
          <w:rFonts w:ascii="Times New Roman" w:eastAsia="Times New Roman" w:hAnsi="Times New Roman" w:cs="Times New Roman"/>
          <w:sz w:val="24"/>
          <w:szCs w:val="24"/>
        </w:rPr>
        <w:t xml:space="preserve">, R. M., &amp; </w:t>
      </w:r>
      <w:proofErr w:type="spellStart"/>
      <w:r w:rsidRPr="00A03CB5">
        <w:rPr>
          <w:rFonts w:ascii="Times New Roman" w:eastAsia="Times New Roman" w:hAnsi="Times New Roman" w:cs="Times New Roman"/>
          <w:sz w:val="24"/>
          <w:szCs w:val="24"/>
        </w:rPr>
        <w:t>Grilo</w:t>
      </w:r>
      <w:proofErr w:type="spellEnd"/>
      <w:r w:rsidRPr="00A03CB5">
        <w:rPr>
          <w:rFonts w:ascii="Times New Roman" w:eastAsia="Times New Roman" w:hAnsi="Times New Roman" w:cs="Times New Roman"/>
          <w:sz w:val="24"/>
          <w:szCs w:val="24"/>
        </w:rPr>
        <w:t xml:space="preserve">, C. M. (2011). An examination of the food addiction construct in obese patients with binge eating disorder. </w:t>
      </w:r>
      <w:r w:rsidRPr="00A03CB5">
        <w:rPr>
          <w:rFonts w:ascii="Times New Roman" w:eastAsia="Times New Roman" w:hAnsi="Times New Roman" w:cs="Times New Roman"/>
          <w:i/>
          <w:sz w:val="24"/>
          <w:szCs w:val="24"/>
        </w:rPr>
        <w:t>International Journal of Eating Disorders, 45</w:t>
      </w:r>
      <w:r w:rsidRPr="00A03CB5">
        <w:rPr>
          <w:rFonts w:ascii="Times New Roman" w:eastAsia="Times New Roman" w:hAnsi="Times New Roman" w:cs="Times New Roman"/>
          <w:sz w:val="24"/>
          <w:szCs w:val="24"/>
        </w:rPr>
        <w:t xml:space="preserve">(5), 657–663. </w:t>
      </w:r>
      <w:hyperlink r:id="rId15">
        <w:r w:rsidR="006E4B3A" w:rsidRPr="00A03CB5">
          <w:rPr>
            <w:rFonts w:ascii="Times New Roman" w:eastAsia="Times New Roman" w:hAnsi="Times New Roman" w:cs="Times New Roman"/>
            <w:sz w:val="24"/>
            <w:szCs w:val="24"/>
          </w:rPr>
          <w:t>https://doi.org/10.1002/eat.20957</w:t>
        </w:r>
      </w:hyperlink>
    </w:p>
    <w:p w14:paraId="40231F14" w14:textId="77777777" w:rsidR="006E4B3A" w:rsidRPr="00A03CB5" w:rsidRDefault="00000000">
      <w:pPr>
        <w:spacing w:before="240" w:after="240"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A. N., Bueno, N. B., </w:t>
      </w:r>
      <w:proofErr w:type="spellStart"/>
      <w:r w:rsidRPr="00A03CB5">
        <w:rPr>
          <w:rFonts w:ascii="Times New Roman" w:eastAsia="Times New Roman" w:hAnsi="Times New Roman" w:cs="Times New Roman"/>
          <w:sz w:val="24"/>
          <w:szCs w:val="24"/>
        </w:rPr>
        <w:t>DiFeliceantonio</w:t>
      </w:r>
      <w:proofErr w:type="spellEnd"/>
      <w:r w:rsidRPr="00A03CB5">
        <w:rPr>
          <w:rFonts w:ascii="Times New Roman" w:eastAsia="Times New Roman" w:hAnsi="Times New Roman" w:cs="Times New Roman"/>
          <w:sz w:val="24"/>
          <w:szCs w:val="24"/>
        </w:rPr>
        <w:t xml:space="preserve">, A. G., Roberto, C. A., Jiménez-Murcia, S., &amp; Fernandez-Aranda, F. (2023). Social, clinical, and policy implications of ultra-processed food addiction. </w:t>
      </w:r>
      <w:r w:rsidRPr="00A03CB5">
        <w:rPr>
          <w:rFonts w:ascii="Times New Roman" w:eastAsia="Times New Roman" w:hAnsi="Times New Roman" w:cs="Times New Roman"/>
          <w:i/>
          <w:sz w:val="24"/>
          <w:szCs w:val="24"/>
        </w:rPr>
        <w:t>BMJ, 383</w:t>
      </w:r>
      <w:r w:rsidRPr="00A03CB5">
        <w:rPr>
          <w:rFonts w:ascii="Times New Roman" w:eastAsia="Times New Roman" w:hAnsi="Times New Roman" w:cs="Times New Roman"/>
          <w:sz w:val="24"/>
          <w:szCs w:val="24"/>
        </w:rPr>
        <w:t>, e075354. https://doi.org/10.1136/bmj-2023-075354</w:t>
      </w:r>
    </w:p>
    <w:p w14:paraId="1E6C1CDB"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Goldschmidt, A. B., Crosby, R. D., Engel, S. G., Crow, S. J., Cao, L., Peterson, C. B., &amp; Durkin, N. (2014). Affect and eating behavior in obese adults with and without elevated depression symptoms. </w:t>
      </w:r>
      <w:r w:rsidRPr="00A03CB5">
        <w:rPr>
          <w:rFonts w:ascii="Times New Roman" w:eastAsia="Times New Roman" w:hAnsi="Times New Roman" w:cs="Times New Roman"/>
          <w:i/>
          <w:sz w:val="24"/>
          <w:szCs w:val="24"/>
        </w:rPr>
        <w:t>International Journal of Eating Disorders, 47</w:t>
      </w:r>
      <w:r w:rsidRPr="00A03CB5">
        <w:rPr>
          <w:rFonts w:ascii="Times New Roman" w:eastAsia="Times New Roman" w:hAnsi="Times New Roman" w:cs="Times New Roman"/>
          <w:sz w:val="24"/>
          <w:szCs w:val="24"/>
        </w:rPr>
        <w:t>(3), 281–286. https://doi.org/10.1002/eat.22188</w:t>
      </w:r>
    </w:p>
    <w:p w14:paraId="349BC830" w14:textId="77777777" w:rsidR="006E4B3A" w:rsidRPr="00A03CB5" w:rsidRDefault="006E4B3A">
      <w:pPr>
        <w:spacing w:line="240" w:lineRule="auto"/>
        <w:jc w:val="both"/>
        <w:rPr>
          <w:rFonts w:ascii="Times New Roman" w:eastAsia="Times New Roman" w:hAnsi="Times New Roman" w:cs="Times New Roman"/>
          <w:sz w:val="24"/>
          <w:szCs w:val="24"/>
        </w:rPr>
      </w:pPr>
    </w:p>
    <w:p w14:paraId="575BAFFB"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Innamorati</w:t>
      </w:r>
      <w:proofErr w:type="spellEnd"/>
      <w:r w:rsidRPr="00A03CB5">
        <w:rPr>
          <w:rFonts w:ascii="Times New Roman" w:eastAsia="Times New Roman" w:hAnsi="Times New Roman" w:cs="Times New Roman"/>
          <w:sz w:val="24"/>
          <w:szCs w:val="24"/>
        </w:rPr>
        <w:t xml:space="preserve">, M., </w:t>
      </w:r>
      <w:proofErr w:type="spellStart"/>
      <w:r w:rsidRPr="00A03CB5">
        <w:rPr>
          <w:rFonts w:ascii="Times New Roman" w:eastAsia="Times New Roman" w:hAnsi="Times New Roman" w:cs="Times New Roman"/>
          <w:sz w:val="24"/>
          <w:szCs w:val="24"/>
        </w:rPr>
        <w:t>Imperatori</w:t>
      </w:r>
      <w:proofErr w:type="spellEnd"/>
      <w:r w:rsidRPr="00A03CB5">
        <w:rPr>
          <w:rFonts w:ascii="Times New Roman" w:eastAsia="Times New Roman" w:hAnsi="Times New Roman" w:cs="Times New Roman"/>
          <w:sz w:val="24"/>
          <w:szCs w:val="24"/>
        </w:rPr>
        <w:t xml:space="preserve">, C., </w:t>
      </w:r>
      <w:proofErr w:type="spellStart"/>
      <w:r w:rsidRPr="00A03CB5">
        <w:rPr>
          <w:rFonts w:ascii="Times New Roman" w:eastAsia="Times New Roman" w:hAnsi="Times New Roman" w:cs="Times New Roman"/>
          <w:sz w:val="24"/>
          <w:szCs w:val="24"/>
        </w:rPr>
        <w:t>Harnic</w:t>
      </w:r>
      <w:proofErr w:type="spellEnd"/>
      <w:r w:rsidRPr="00A03CB5">
        <w:rPr>
          <w:rFonts w:ascii="Times New Roman" w:eastAsia="Times New Roman" w:hAnsi="Times New Roman" w:cs="Times New Roman"/>
          <w:sz w:val="24"/>
          <w:szCs w:val="24"/>
        </w:rPr>
        <w:t xml:space="preserve">, D., </w:t>
      </w:r>
      <w:proofErr w:type="spellStart"/>
      <w:r w:rsidRPr="00A03CB5">
        <w:rPr>
          <w:rFonts w:ascii="Times New Roman" w:eastAsia="Times New Roman" w:hAnsi="Times New Roman" w:cs="Times New Roman"/>
          <w:sz w:val="24"/>
          <w:szCs w:val="24"/>
        </w:rPr>
        <w:t>Erbuto</w:t>
      </w:r>
      <w:proofErr w:type="spellEnd"/>
      <w:r w:rsidRPr="00A03CB5">
        <w:rPr>
          <w:rFonts w:ascii="Times New Roman" w:eastAsia="Times New Roman" w:hAnsi="Times New Roman" w:cs="Times New Roman"/>
          <w:sz w:val="24"/>
          <w:szCs w:val="24"/>
        </w:rPr>
        <w:t xml:space="preserve">, D., Patitucci, E., </w:t>
      </w:r>
      <w:proofErr w:type="spellStart"/>
      <w:r w:rsidRPr="00A03CB5">
        <w:rPr>
          <w:rFonts w:ascii="Times New Roman" w:eastAsia="Times New Roman" w:hAnsi="Times New Roman" w:cs="Times New Roman"/>
          <w:sz w:val="24"/>
          <w:szCs w:val="24"/>
        </w:rPr>
        <w:t>Janiri</w:t>
      </w:r>
      <w:proofErr w:type="spellEnd"/>
      <w:r w:rsidRPr="00A03CB5">
        <w:rPr>
          <w:rFonts w:ascii="Times New Roman" w:eastAsia="Times New Roman" w:hAnsi="Times New Roman" w:cs="Times New Roman"/>
          <w:sz w:val="24"/>
          <w:szCs w:val="24"/>
        </w:rPr>
        <w:t xml:space="preserve">, L., ... &amp; </w:t>
      </w:r>
      <w:proofErr w:type="spellStart"/>
      <w:r w:rsidRPr="00A03CB5">
        <w:rPr>
          <w:rFonts w:ascii="Times New Roman" w:eastAsia="Times New Roman" w:hAnsi="Times New Roman" w:cs="Times New Roman"/>
          <w:sz w:val="24"/>
          <w:szCs w:val="24"/>
        </w:rPr>
        <w:t>Fabbricatore</w:t>
      </w:r>
      <w:proofErr w:type="spellEnd"/>
      <w:r w:rsidRPr="00A03CB5">
        <w:rPr>
          <w:rFonts w:ascii="Times New Roman" w:eastAsia="Times New Roman" w:hAnsi="Times New Roman" w:cs="Times New Roman"/>
          <w:sz w:val="24"/>
          <w:szCs w:val="24"/>
        </w:rPr>
        <w:t>, M. (2017). Emotion regulation and mentalization in people at risk for food addiction. Behavioral Medicine, 43(1), 21-30.</w:t>
      </w:r>
    </w:p>
    <w:p w14:paraId="737B0227" w14:textId="77777777" w:rsidR="006E4B3A" w:rsidRPr="00A03CB5" w:rsidRDefault="006E4B3A">
      <w:pPr>
        <w:spacing w:line="240" w:lineRule="auto"/>
        <w:jc w:val="both"/>
        <w:rPr>
          <w:rFonts w:ascii="Times New Roman" w:eastAsia="Times New Roman" w:hAnsi="Times New Roman" w:cs="Times New Roman"/>
          <w:sz w:val="24"/>
          <w:szCs w:val="24"/>
        </w:rPr>
      </w:pPr>
    </w:p>
    <w:p w14:paraId="510E876E"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Júnior, E. V. M., &amp; da Silva, D. C. (2023). Association between ultra-processed food consumption and obesity in Brazilian adolescents: A cross-sectional study. </w:t>
      </w:r>
      <w:r w:rsidRPr="00A03CB5">
        <w:rPr>
          <w:rFonts w:ascii="Times New Roman" w:eastAsia="Times New Roman" w:hAnsi="Times New Roman" w:cs="Times New Roman"/>
          <w:i/>
          <w:sz w:val="24"/>
          <w:szCs w:val="24"/>
        </w:rPr>
        <w:t>Journal of Nutrition Education and Behavior, 55</w:t>
      </w:r>
      <w:r w:rsidRPr="00A03CB5">
        <w:rPr>
          <w:rFonts w:ascii="Times New Roman" w:eastAsia="Times New Roman" w:hAnsi="Times New Roman" w:cs="Times New Roman"/>
          <w:sz w:val="24"/>
          <w:szCs w:val="24"/>
        </w:rPr>
        <w:t>(4), 345–352. https://doi.org/10.1016/j.jneb.2023.01.005</w:t>
      </w:r>
    </w:p>
    <w:p w14:paraId="356E6B24" w14:textId="77777777" w:rsidR="006E4B3A" w:rsidRPr="00A03CB5" w:rsidRDefault="006E4B3A">
      <w:pPr>
        <w:spacing w:line="240" w:lineRule="auto"/>
        <w:jc w:val="both"/>
        <w:rPr>
          <w:rFonts w:ascii="Times New Roman" w:eastAsia="Times New Roman" w:hAnsi="Times New Roman" w:cs="Times New Roman"/>
          <w:sz w:val="24"/>
          <w:szCs w:val="24"/>
        </w:rPr>
      </w:pPr>
    </w:p>
    <w:p w14:paraId="6811184C"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Kampov-Polevoy</w:t>
      </w:r>
      <w:proofErr w:type="spellEnd"/>
      <w:r w:rsidRPr="00A03CB5">
        <w:rPr>
          <w:rFonts w:ascii="Times New Roman" w:eastAsia="Times New Roman" w:hAnsi="Times New Roman" w:cs="Times New Roman"/>
          <w:sz w:val="24"/>
          <w:szCs w:val="24"/>
        </w:rPr>
        <w:t xml:space="preserve">, A. B., Garbutt, J. C., &amp; </w:t>
      </w:r>
      <w:proofErr w:type="spellStart"/>
      <w:r w:rsidRPr="00A03CB5">
        <w:rPr>
          <w:rFonts w:ascii="Times New Roman" w:eastAsia="Times New Roman" w:hAnsi="Times New Roman" w:cs="Times New Roman"/>
          <w:sz w:val="24"/>
          <w:szCs w:val="24"/>
        </w:rPr>
        <w:t>Janowsky</w:t>
      </w:r>
      <w:proofErr w:type="spellEnd"/>
      <w:r w:rsidRPr="00A03CB5">
        <w:rPr>
          <w:rFonts w:ascii="Times New Roman" w:eastAsia="Times New Roman" w:hAnsi="Times New Roman" w:cs="Times New Roman"/>
          <w:sz w:val="24"/>
          <w:szCs w:val="24"/>
        </w:rPr>
        <w:t xml:space="preserve">, D. S. (2006). Sweet preference predicts mood-altering effect of and impaired control </w:t>
      </w:r>
      <w:proofErr w:type="gramStart"/>
      <w:r w:rsidRPr="00A03CB5">
        <w:rPr>
          <w:rFonts w:ascii="Times New Roman" w:eastAsia="Times New Roman" w:hAnsi="Times New Roman" w:cs="Times New Roman"/>
          <w:sz w:val="24"/>
          <w:szCs w:val="24"/>
        </w:rPr>
        <w:t>over eating</w:t>
      </w:r>
      <w:proofErr w:type="gramEnd"/>
      <w:r w:rsidRPr="00A03CB5">
        <w:rPr>
          <w:rFonts w:ascii="Times New Roman" w:eastAsia="Times New Roman" w:hAnsi="Times New Roman" w:cs="Times New Roman"/>
          <w:sz w:val="24"/>
          <w:szCs w:val="24"/>
        </w:rPr>
        <w:t xml:space="preserve"> sweet foods. </w:t>
      </w:r>
      <w:r w:rsidRPr="00A03CB5">
        <w:rPr>
          <w:rFonts w:ascii="Times New Roman" w:eastAsia="Times New Roman" w:hAnsi="Times New Roman" w:cs="Times New Roman"/>
          <w:i/>
          <w:sz w:val="24"/>
          <w:szCs w:val="24"/>
        </w:rPr>
        <w:t>Eating Behaviors, 7</w:t>
      </w:r>
      <w:r w:rsidRPr="00A03CB5">
        <w:rPr>
          <w:rFonts w:ascii="Times New Roman" w:eastAsia="Times New Roman" w:hAnsi="Times New Roman" w:cs="Times New Roman"/>
          <w:sz w:val="24"/>
          <w:szCs w:val="24"/>
        </w:rPr>
        <w:t>(3), 181–187. https://doi.org/10.1016/j.eatbeh.2005.09.002</w:t>
      </w:r>
    </w:p>
    <w:p w14:paraId="72DDFBBD" w14:textId="77777777" w:rsidR="006E4B3A" w:rsidRPr="00A03CB5" w:rsidRDefault="006E4B3A">
      <w:pPr>
        <w:spacing w:line="240" w:lineRule="auto"/>
        <w:jc w:val="both"/>
        <w:rPr>
          <w:rFonts w:ascii="Times New Roman" w:eastAsia="Times New Roman" w:hAnsi="Times New Roman" w:cs="Times New Roman"/>
          <w:sz w:val="24"/>
          <w:szCs w:val="24"/>
        </w:rPr>
      </w:pPr>
    </w:p>
    <w:p w14:paraId="490F8396"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Kliem</w:t>
      </w:r>
      <w:proofErr w:type="spellEnd"/>
      <w:r w:rsidRPr="00A03CB5">
        <w:rPr>
          <w:rFonts w:ascii="Times New Roman" w:eastAsia="Times New Roman" w:hAnsi="Times New Roman" w:cs="Times New Roman"/>
          <w:sz w:val="24"/>
          <w:szCs w:val="24"/>
        </w:rPr>
        <w:t xml:space="preserve">, S., </w:t>
      </w:r>
      <w:proofErr w:type="spellStart"/>
      <w:r w:rsidRPr="00A03CB5">
        <w:rPr>
          <w:rFonts w:ascii="Times New Roman" w:eastAsia="Times New Roman" w:hAnsi="Times New Roman" w:cs="Times New Roman"/>
          <w:sz w:val="24"/>
          <w:szCs w:val="24"/>
        </w:rPr>
        <w:t>Mößle</w:t>
      </w:r>
      <w:proofErr w:type="spellEnd"/>
      <w:r w:rsidRPr="00A03CB5">
        <w:rPr>
          <w:rFonts w:ascii="Times New Roman" w:eastAsia="Times New Roman" w:hAnsi="Times New Roman" w:cs="Times New Roman"/>
          <w:sz w:val="24"/>
          <w:szCs w:val="24"/>
        </w:rPr>
        <w:t xml:space="preserve">, T., Zenger, M., </w:t>
      </w:r>
      <w:proofErr w:type="spellStart"/>
      <w:r w:rsidRPr="00A03CB5">
        <w:rPr>
          <w:rFonts w:ascii="Times New Roman" w:eastAsia="Times New Roman" w:hAnsi="Times New Roman" w:cs="Times New Roman"/>
          <w:sz w:val="24"/>
          <w:szCs w:val="24"/>
        </w:rPr>
        <w:t>Strauß</w:t>
      </w:r>
      <w:proofErr w:type="spellEnd"/>
      <w:r w:rsidRPr="00A03CB5">
        <w:rPr>
          <w:rFonts w:ascii="Times New Roman" w:eastAsia="Times New Roman" w:hAnsi="Times New Roman" w:cs="Times New Roman"/>
          <w:sz w:val="24"/>
          <w:szCs w:val="24"/>
        </w:rPr>
        <w:t xml:space="preserve">, B., </w:t>
      </w:r>
      <w:proofErr w:type="spellStart"/>
      <w:r w:rsidRPr="00A03CB5">
        <w:rPr>
          <w:rFonts w:ascii="Times New Roman" w:eastAsia="Times New Roman" w:hAnsi="Times New Roman" w:cs="Times New Roman"/>
          <w:sz w:val="24"/>
          <w:szCs w:val="24"/>
        </w:rPr>
        <w:t>Brähler</w:t>
      </w:r>
      <w:proofErr w:type="spellEnd"/>
      <w:r w:rsidRPr="00A03CB5">
        <w:rPr>
          <w:rFonts w:ascii="Times New Roman" w:eastAsia="Times New Roman" w:hAnsi="Times New Roman" w:cs="Times New Roman"/>
          <w:sz w:val="24"/>
          <w:szCs w:val="24"/>
        </w:rPr>
        <w:t xml:space="preserve">, E., &amp; Hilbert, A. (2016). The Eating Disorder Examination-Questionnaire 8: A brief measure of eating disorder psychopathology (EDE-Q8). </w:t>
      </w:r>
      <w:r w:rsidRPr="00A03CB5">
        <w:rPr>
          <w:rFonts w:ascii="Times New Roman" w:eastAsia="Times New Roman" w:hAnsi="Times New Roman" w:cs="Times New Roman"/>
          <w:i/>
          <w:sz w:val="24"/>
          <w:szCs w:val="24"/>
        </w:rPr>
        <w:t>International Journal of Eating Disorders, 49</w:t>
      </w:r>
      <w:r w:rsidRPr="00A03CB5">
        <w:rPr>
          <w:rFonts w:ascii="Times New Roman" w:eastAsia="Times New Roman" w:hAnsi="Times New Roman" w:cs="Times New Roman"/>
          <w:sz w:val="24"/>
          <w:szCs w:val="24"/>
        </w:rPr>
        <w:t>(6), 613–616. https://doi.org/10.1002/eat.22487</w:t>
      </w:r>
    </w:p>
    <w:p w14:paraId="7337E9FB" w14:textId="77777777" w:rsidR="006E4B3A" w:rsidRPr="00A03CB5" w:rsidRDefault="00000000">
      <w:pPr>
        <w:spacing w:before="240" w:after="240"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Larson, N. I., Story, M. T., &amp; Nelson, M. C. (2009). Neighborhood environments: Disparities in access to healthy foods in the U.S. </w:t>
      </w:r>
      <w:r w:rsidRPr="00A03CB5">
        <w:rPr>
          <w:rFonts w:ascii="Times New Roman" w:eastAsia="Times New Roman" w:hAnsi="Times New Roman" w:cs="Times New Roman"/>
          <w:i/>
          <w:sz w:val="24"/>
          <w:szCs w:val="24"/>
        </w:rPr>
        <w:t>American Journal of Preventive Medicine, 36</w:t>
      </w:r>
      <w:r w:rsidRPr="00A03CB5">
        <w:rPr>
          <w:rFonts w:ascii="Times New Roman" w:eastAsia="Times New Roman" w:hAnsi="Times New Roman" w:cs="Times New Roman"/>
          <w:sz w:val="24"/>
          <w:szCs w:val="24"/>
        </w:rPr>
        <w:t>(1), 74-</w:t>
      </w:r>
      <w:proofErr w:type="gramStart"/>
      <w:r w:rsidRPr="00A03CB5">
        <w:rPr>
          <w:rFonts w:ascii="Times New Roman" w:eastAsia="Times New Roman" w:hAnsi="Times New Roman" w:cs="Times New Roman"/>
          <w:sz w:val="24"/>
          <w:szCs w:val="24"/>
        </w:rPr>
        <w:t>81.Larson</w:t>
      </w:r>
      <w:proofErr w:type="gramEnd"/>
      <w:r w:rsidRPr="00A03CB5">
        <w:rPr>
          <w:rFonts w:ascii="Times New Roman" w:eastAsia="Times New Roman" w:hAnsi="Times New Roman" w:cs="Times New Roman"/>
          <w:sz w:val="24"/>
          <w:szCs w:val="24"/>
        </w:rPr>
        <w:t xml:space="preserve">, N. I., Story, M. T., &amp; Nelson, M. C. (2009). Neighborhood environments: Disparities in access to healthy foods in the U.S. </w:t>
      </w:r>
      <w:r w:rsidRPr="00A03CB5">
        <w:rPr>
          <w:rFonts w:ascii="Times New Roman" w:eastAsia="Times New Roman" w:hAnsi="Times New Roman" w:cs="Times New Roman"/>
          <w:i/>
          <w:sz w:val="24"/>
          <w:szCs w:val="24"/>
        </w:rPr>
        <w:t>American Journal of Preventive Medicine, 36</w:t>
      </w:r>
      <w:r w:rsidRPr="00A03CB5">
        <w:rPr>
          <w:rFonts w:ascii="Times New Roman" w:eastAsia="Times New Roman" w:hAnsi="Times New Roman" w:cs="Times New Roman"/>
          <w:sz w:val="24"/>
          <w:szCs w:val="24"/>
        </w:rPr>
        <w:t>(1), 74-81.</w:t>
      </w:r>
    </w:p>
    <w:p w14:paraId="43182FE1"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Lytle LA. Examining the etiology of childhood obesity: The IDEA Study. Am J Community Psychol. 2009;44(3-4):338- 349. </w:t>
      </w:r>
      <w:hyperlink r:id="rId16">
        <w:r w:rsidR="006E4B3A" w:rsidRPr="00A03CB5">
          <w:rPr>
            <w:rFonts w:ascii="Times New Roman" w:eastAsia="Times New Roman" w:hAnsi="Times New Roman" w:cs="Times New Roman"/>
            <w:sz w:val="24"/>
            <w:szCs w:val="24"/>
          </w:rPr>
          <w:t>https://doi.org/10.1007/s10464-009-9269-1</w:t>
        </w:r>
      </w:hyperlink>
      <w:r w:rsidRPr="00A03CB5">
        <w:rPr>
          <w:rFonts w:ascii="Times New Roman" w:eastAsia="Times New Roman" w:hAnsi="Times New Roman" w:cs="Times New Roman"/>
          <w:sz w:val="24"/>
          <w:szCs w:val="24"/>
        </w:rPr>
        <w:t>.</w:t>
      </w:r>
    </w:p>
    <w:p w14:paraId="11F1A195" w14:textId="77777777" w:rsidR="006E4B3A" w:rsidRPr="00A03CB5" w:rsidRDefault="006E4B3A">
      <w:pPr>
        <w:spacing w:line="240" w:lineRule="auto"/>
        <w:jc w:val="both"/>
        <w:rPr>
          <w:rFonts w:ascii="Times New Roman" w:eastAsia="Times New Roman" w:hAnsi="Times New Roman" w:cs="Times New Roman"/>
          <w:sz w:val="24"/>
          <w:szCs w:val="24"/>
        </w:rPr>
      </w:pPr>
    </w:p>
    <w:p w14:paraId="7DD0989B"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Manning, L., Soon, J. M., &amp; Baines, R. N. (2020). Shaping healthy and sustainable food systems with </w:t>
      </w:r>
      <w:proofErr w:type="spellStart"/>
      <w:r w:rsidRPr="00A03CB5">
        <w:rPr>
          <w:rFonts w:ascii="Times New Roman" w:eastAsia="Times New Roman" w:hAnsi="Times New Roman" w:cs="Times New Roman"/>
          <w:sz w:val="24"/>
          <w:szCs w:val="24"/>
        </w:rPr>
        <w:t>behavioural</w:t>
      </w:r>
      <w:proofErr w:type="spellEnd"/>
      <w:r w:rsidRPr="00A03CB5">
        <w:rPr>
          <w:rFonts w:ascii="Times New Roman" w:eastAsia="Times New Roman" w:hAnsi="Times New Roman" w:cs="Times New Roman"/>
          <w:sz w:val="24"/>
          <w:szCs w:val="24"/>
        </w:rPr>
        <w:t xml:space="preserve"> food policy. </w:t>
      </w:r>
      <w:r w:rsidRPr="00A03CB5">
        <w:rPr>
          <w:rFonts w:ascii="Times New Roman" w:eastAsia="Times New Roman" w:hAnsi="Times New Roman" w:cs="Times New Roman"/>
          <w:i/>
          <w:sz w:val="24"/>
          <w:szCs w:val="24"/>
        </w:rPr>
        <w:t>European Review of Agricultural Economics</w:t>
      </w:r>
      <w:r w:rsidRPr="00A03CB5">
        <w:rPr>
          <w:rFonts w:ascii="Times New Roman" w:eastAsia="Times New Roman" w:hAnsi="Times New Roman" w:cs="Times New Roman"/>
          <w:sz w:val="24"/>
          <w:szCs w:val="24"/>
        </w:rPr>
        <w:t>. Oxford University Press.</w:t>
      </w:r>
    </w:p>
    <w:p w14:paraId="467B7D73" w14:textId="77777777" w:rsidR="006E4B3A" w:rsidRPr="00A03CB5" w:rsidRDefault="006E4B3A">
      <w:pPr>
        <w:spacing w:line="240" w:lineRule="auto"/>
        <w:jc w:val="both"/>
        <w:rPr>
          <w:rFonts w:ascii="Times New Roman" w:eastAsia="Times New Roman" w:hAnsi="Times New Roman" w:cs="Times New Roman"/>
          <w:sz w:val="24"/>
          <w:szCs w:val="24"/>
        </w:rPr>
      </w:pPr>
    </w:p>
    <w:p w14:paraId="0A888A75"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Martínez-Pérez, C., </w:t>
      </w:r>
      <w:proofErr w:type="spellStart"/>
      <w:r w:rsidRPr="00A03CB5">
        <w:rPr>
          <w:rFonts w:ascii="Times New Roman" w:eastAsia="Times New Roman" w:hAnsi="Times New Roman" w:cs="Times New Roman"/>
          <w:sz w:val="24"/>
          <w:szCs w:val="24"/>
        </w:rPr>
        <w:t>Daimiel</w:t>
      </w:r>
      <w:proofErr w:type="spellEnd"/>
      <w:r w:rsidRPr="00A03CB5">
        <w:rPr>
          <w:rFonts w:ascii="Times New Roman" w:eastAsia="Times New Roman" w:hAnsi="Times New Roman" w:cs="Times New Roman"/>
          <w:sz w:val="24"/>
          <w:szCs w:val="24"/>
        </w:rPr>
        <w:t xml:space="preserve">, L., </w:t>
      </w:r>
      <w:proofErr w:type="spellStart"/>
      <w:r w:rsidRPr="00A03CB5">
        <w:rPr>
          <w:rFonts w:ascii="Times New Roman" w:eastAsia="Times New Roman" w:hAnsi="Times New Roman" w:cs="Times New Roman"/>
          <w:sz w:val="24"/>
          <w:szCs w:val="24"/>
        </w:rPr>
        <w:t>Climent-Mainar</w:t>
      </w:r>
      <w:proofErr w:type="spellEnd"/>
      <w:r w:rsidRPr="00A03CB5">
        <w:rPr>
          <w:rFonts w:ascii="Times New Roman" w:eastAsia="Times New Roman" w:hAnsi="Times New Roman" w:cs="Times New Roman"/>
          <w:sz w:val="24"/>
          <w:szCs w:val="24"/>
        </w:rPr>
        <w:t>, C., Martínez-González, M. Á., Salas-</w:t>
      </w:r>
      <w:proofErr w:type="spellStart"/>
      <w:r w:rsidRPr="00A03CB5">
        <w:rPr>
          <w:rFonts w:ascii="Times New Roman" w:eastAsia="Times New Roman" w:hAnsi="Times New Roman" w:cs="Times New Roman"/>
          <w:sz w:val="24"/>
          <w:szCs w:val="24"/>
        </w:rPr>
        <w:t>Salvadó</w:t>
      </w:r>
      <w:proofErr w:type="spellEnd"/>
      <w:r w:rsidRPr="00A03CB5">
        <w:rPr>
          <w:rFonts w:ascii="Times New Roman" w:eastAsia="Times New Roman" w:hAnsi="Times New Roman" w:cs="Times New Roman"/>
          <w:sz w:val="24"/>
          <w:szCs w:val="24"/>
        </w:rPr>
        <w:t xml:space="preserve">, J., Corella, D., </w:t>
      </w:r>
      <w:proofErr w:type="spellStart"/>
      <w:r w:rsidRPr="00A03CB5">
        <w:rPr>
          <w:rFonts w:ascii="Times New Roman" w:eastAsia="Times New Roman" w:hAnsi="Times New Roman" w:cs="Times New Roman"/>
          <w:sz w:val="24"/>
          <w:szCs w:val="24"/>
        </w:rPr>
        <w:t>Schröder</w:t>
      </w:r>
      <w:proofErr w:type="spellEnd"/>
      <w:r w:rsidRPr="00A03CB5">
        <w:rPr>
          <w:rFonts w:ascii="Times New Roman" w:eastAsia="Times New Roman" w:hAnsi="Times New Roman" w:cs="Times New Roman"/>
          <w:sz w:val="24"/>
          <w:szCs w:val="24"/>
        </w:rPr>
        <w:t xml:space="preserve">, H., Martinez, J. A., Alonso-Gómez, Á. M., </w:t>
      </w:r>
      <w:proofErr w:type="spellStart"/>
      <w:r w:rsidRPr="00A03CB5">
        <w:rPr>
          <w:rFonts w:ascii="Times New Roman" w:eastAsia="Times New Roman" w:hAnsi="Times New Roman" w:cs="Times New Roman"/>
          <w:sz w:val="24"/>
          <w:szCs w:val="24"/>
        </w:rPr>
        <w:t>Wärnberg</w:t>
      </w:r>
      <w:proofErr w:type="spellEnd"/>
      <w:r w:rsidRPr="00A03CB5">
        <w:rPr>
          <w:rFonts w:ascii="Times New Roman" w:eastAsia="Times New Roman" w:hAnsi="Times New Roman" w:cs="Times New Roman"/>
          <w:sz w:val="24"/>
          <w:szCs w:val="24"/>
        </w:rPr>
        <w:t xml:space="preserve">, J., </w:t>
      </w:r>
      <w:proofErr w:type="spellStart"/>
      <w:r w:rsidRPr="00A03CB5">
        <w:rPr>
          <w:rFonts w:ascii="Times New Roman" w:eastAsia="Times New Roman" w:hAnsi="Times New Roman" w:cs="Times New Roman"/>
          <w:sz w:val="24"/>
          <w:szCs w:val="24"/>
        </w:rPr>
        <w:t>Vioque</w:t>
      </w:r>
      <w:proofErr w:type="spellEnd"/>
      <w:r w:rsidRPr="00A03CB5">
        <w:rPr>
          <w:rFonts w:ascii="Times New Roman" w:eastAsia="Times New Roman" w:hAnsi="Times New Roman" w:cs="Times New Roman"/>
          <w:sz w:val="24"/>
          <w:szCs w:val="24"/>
        </w:rPr>
        <w:t xml:space="preserve">, J., </w:t>
      </w:r>
      <w:proofErr w:type="spellStart"/>
      <w:r w:rsidRPr="00A03CB5">
        <w:rPr>
          <w:rFonts w:ascii="Times New Roman" w:eastAsia="Times New Roman" w:hAnsi="Times New Roman" w:cs="Times New Roman"/>
          <w:sz w:val="24"/>
          <w:szCs w:val="24"/>
        </w:rPr>
        <w:t>Romaguera</w:t>
      </w:r>
      <w:proofErr w:type="spellEnd"/>
      <w:r w:rsidRPr="00A03CB5">
        <w:rPr>
          <w:rFonts w:ascii="Times New Roman" w:eastAsia="Times New Roman" w:hAnsi="Times New Roman" w:cs="Times New Roman"/>
          <w:sz w:val="24"/>
          <w:szCs w:val="24"/>
        </w:rPr>
        <w:t xml:space="preserve">, D., López-Miranda, J., </w:t>
      </w:r>
      <w:proofErr w:type="spellStart"/>
      <w:r w:rsidRPr="00A03CB5">
        <w:rPr>
          <w:rFonts w:ascii="Times New Roman" w:eastAsia="Times New Roman" w:hAnsi="Times New Roman" w:cs="Times New Roman"/>
          <w:sz w:val="24"/>
          <w:szCs w:val="24"/>
        </w:rPr>
        <w:t>Estruch</w:t>
      </w:r>
      <w:proofErr w:type="spellEnd"/>
      <w:r w:rsidRPr="00A03CB5">
        <w:rPr>
          <w:rFonts w:ascii="Times New Roman" w:eastAsia="Times New Roman" w:hAnsi="Times New Roman" w:cs="Times New Roman"/>
          <w:sz w:val="24"/>
          <w:szCs w:val="24"/>
        </w:rPr>
        <w:t xml:space="preserve">, R., </w:t>
      </w:r>
      <w:proofErr w:type="spellStart"/>
      <w:r w:rsidRPr="00A03CB5">
        <w:rPr>
          <w:rFonts w:ascii="Times New Roman" w:eastAsia="Times New Roman" w:hAnsi="Times New Roman" w:cs="Times New Roman"/>
          <w:sz w:val="24"/>
          <w:szCs w:val="24"/>
        </w:rPr>
        <w:t>Tinahones</w:t>
      </w:r>
      <w:proofErr w:type="spellEnd"/>
      <w:r w:rsidRPr="00A03CB5">
        <w:rPr>
          <w:rFonts w:ascii="Times New Roman" w:eastAsia="Times New Roman" w:hAnsi="Times New Roman" w:cs="Times New Roman"/>
          <w:sz w:val="24"/>
          <w:szCs w:val="24"/>
        </w:rPr>
        <w:t xml:space="preserve">, F. J., </w:t>
      </w:r>
      <w:proofErr w:type="spellStart"/>
      <w:r w:rsidRPr="00A03CB5">
        <w:rPr>
          <w:rFonts w:ascii="Times New Roman" w:eastAsia="Times New Roman" w:hAnsi="Times New Roman" w:cs="Times New Roman"/>
          <w:sz w:val="24"/>
          <w:szCs w:val="24"/>
        </w:rPr>
        <w:t>Lapetra</w:t>
      </w:r>
      <w:proofErr w:type="spellEnd"/>
      <w:r w:rsidRPr="00A03CB5">
        <w:rPr>
          <w:rFonts w:ascii="Times New Roman" w:eastAsia="Times New Roman" w:hAnsi="Times New Roman" w:cs="Times New Roman"/>
          <w:sz w:val="24"/>
          <w:szCs w:val="24"/>
        </w:rPr>
        <w:t>, J., Serra-</w:t>
      </w:r>
      <w:proofErr w:type="spellStart"/>
      <w:r w:rsidRPr="00A03CB5">
        <w:rPr>
          <w:rFonts w:ascii="Times New Roman" w:eastAsia="Times New Roman" w:hAnsi="Times New Roman" w:cs="Times New Roman"/>
          <w:sz w:val="24"/>
          <w:szCs w:val="24"/>
        </w:rPr>
        <w:t>Majem</w:t>
      </w:r>
      <w:proofErr w:type="spellEnd"/>
      <w:r w:rsidRPr="00A03CB5">
        <w:rPr>
          <w:rFonts w:ascii="Times New Roman" w:eastAsia="Times New Roman" w:hAnsi="Times New Roman" w:cs="Times New Roman"/>
          <w:sz w:val="24"/>
          <w:szCs w:val="24"/>
        </w:rPr>
        <w:t>, L., Bueno-</w:t>
      </w:r>
      <w:proofErr w:type="spellStart"/>
      <w:r w:rsidRPr="00A03CB5">
        <w:rPr>
          <w:rFonts w:ascii="Times New Roman" w:eastAsia="Times New Roman" w:hAnsi="Times New Roman" w:cs="Times New Roman"/>
          <w:sz w:val="24"/>
          <w:szCs w:val="24"/>
        </w:rPr>
        <w:t>Cavanillas</w:t>
      </w:r>
      <w:proofErr w:type="spellEnd"/>
      <w:r w:rsidRPr="00A03CB5">
        <w:rPr>
          <w:rFonts w:ascii="Times New Roman" w:eastAsia="Times New Roman" w:hAnsi="Times New Roman" w:cs="Times New Roman"/>
          <w:sz w:val="24"/>
          <w:szCs w:val="24"/>
        </w:rPr>
        <w:t xml:space="preserve">, A., Tur, J. A., ... San-Cristobal, R. (2022). Integrative development of a short </w:t>
      </w:r>
      <w:r w:rsidRPr="00A03CB5">
        <w:rPr>
          <w:rFonts w:ascii="Times New Roman" w:eastAsia="Times New Roman" w:hAnsi="Times New Roman" w:cs="Times New Roman"/>
          <w:sz w:val="24"/>
          <w:szCs w:val="24"/>
        </w:rPr>
        <w:lastRenderedPageBreak/>
        <w:t>screening questionnaire of highly processed food consumption (</w:t>
      </w:r>
      <w:proofErr w:type="spellStart"/>
      <w:r w:rsidRPr="00A03CB5">
        <w:rPr>
          <w:rFonts w:ascii="Times New Roman" w:eastAsia="Times New Roman" w:hAnsi="Times New Roman" w:cs="Times New Roman"/>
          <w:sz w:val="24"/>
          <w:szCs w:val="24"/>
        </w:rPr>
        <w:t>sQ</w:t>
      </w:r>
      <w:proofErr w:type="spellEnd"/>
      <w:r w:rsidRPr="00A03CB5">
        <w:rPr>
          <w:rFonts w:ascii="Times New Roman" w:eastAsia="Times New Roman" w:hAnsi="Times New Roman" w:cs="Times New Roman"/>
          <w:sz w:val="24"/>
          <w:szCs w:val="24"/>
        </w:rPr>
        <w:t xml:space="preserve">-HPF). </w:t>
      </w:r>
      <w:r w:rsidRPr="00A03CB5">
        <w:rPr>
          <w:rFonts w:ascii="Times New Roman" w:eastAsia="Times New Roman" w:hAnsi="Times New Roman" w:cs="Times New Roman"/>
          <w:i/>
          <w:sz w:val="24"/>
          <w:szCs w:val="24"/>
        </w:rPr>
        <w:t>International Journal of Behavioral Nutrition and Physical Activity, 19</w:t>
      </w:r>
      <w:r w:rsidRPr="00A03CB5">
        <w:rPr>
          <w:rFonts w:ascii="Times New Roman" w:eastAsia="Times New Roman" w:hAnsi="Times New Roman" w:cs="Times New Roman"/>
          <w:sz w:val="24"/>
          <w:szCs w:val="24"/>
        </w:rPr>
        <w:t>(1), 6. https://doi.org/10.1186/s12966-021-01240-6</w:t>
      </w:r>
    </w:p>
    <w:p w14:paraId="333470A3" w14:textId="77777777" w:rsidR="006E4B3A" w:rsidRPr="00A03CB5" w:rsidRDefault="006E4B3A">
      <w:pPr>
        <w:spacing w:line="240" w:lineRule="auto"/>
        <w:jc w:val="both"/>
        <w:rPr>
          <w:rFonts w:ascii="Times New Roman" w:eastAsia="Times New Roman" w:hAnsi="Times New Roman" w:cs="Times New Roman"/>
          <w:sz w:val="24"/>
          <w:szCs w:val="24"/>
        </w:rPr>
      </w:pPr>
    </w:p>
    <w:p w14:paraId="7DD1F7A6"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Nebeling</w:t>
      </w:r>
      <w:proofErr w:type="spellEnd"/>
      <w:r w:rsidRPr="00A03CB5">
        <w:rPr>
          <w:rFonts w:ascii="Times New Roman" w:eastAsia="Times New Roman" w:hAnsi="Times New Roman" w:cs="Times New Roman"/>
          <w:sz w:val="24"/>
          <w:szCs w:val="24"/>
        </w:rPr>
        <w:t xml:space="preserve"> LC, Hennessy E, Oh AY, Dwyer LA, Patrick H, </w:t>
      </w:r>
      <w:proofErr w:type="spellStart"/>
      <w:r w:rsidRPr="00A03CB5">
        <w:rPr>
          <w:rFonts w:ascii="Times New Roman" w:eastAsia="Times New Roman" w:hAnsi="Times New Roman" w:cs="Times New Roman"/>
          <w:sz w:val="24"/>
          <w:szCs w:val="24"/>
        </w:rPr>
        <w:t>Blanck</w:t>
      </w:r>
      <w:proofErr w:type="spellEnd"/>
      <w:r w:rsidRPr="00A03CB5">
        <w:rPr>
          <w:rFonts w:ascii="Times New Roman" w:eastAsia="Times New Roman" w:hAnsi="Times New Roman" w:cs="Times New Roman"/>
          <w:sz w:val="24"/>
          <w:szCs w:val="24"/>
        </w:rPr>
        <w:t xml:space="preserve"> HM, </w:t>
      </w:r>
      <w:proofErr w:type="spellStart"/>
      <w:r w:rsidRPr="00A03CB5">
        <w:rPr>
          <w:rFonts w:ascii="Times New Roman" w:eastAsia="Times New Roman" w:hAnsi="Times New Roman" w:cs="Times New Roman"/>
          <w:sz w:val="24"/>
          <w:szCs w:val="24"/>
        </w:rPr>
        <w:t>Perna</w:t>
      </w:r>
      <w:proofErr w:type="spellEnd"/>
      <w:r w:rsidRPr="00A03CB5">
        <w:rPr>
          <w:rFonts w:ascii="Times New Roman" w:eastAsia="Times New Roman" w:hAnsi="Times New Roman" w:cs="Times New Roman"/>
          <w:sz w:val="24"/>
          <w:szCs w:val="24"/>
        </w:rPr>
        <w:t xml:space="preserve"> FM, Ferrer RA, </w:t>
      </w:r>
      <w:proofErr w:type="spellStart"/>
      <w:r w:rsidRPr="00A03CB5">
        <w:rPr>
          <w:rFonts w:ascii="Times New Roman" w:eastAsia="Times New Roman" w:hAnsi="Times New Roman" w:cs="Times New Roman"/>
          <w:sz w:val="24"/>
          <w:szCs w:val="24"/>
        </w:rPr>
        <w:t>Yaroch</w:t>
      </w:r>
      <w:proofErr w:type="spellEnd"/>
      <w:r w:rsidRPr="00A03CB5">
        <w:rPr>
          <w:rFonts w:ascii="Times New Roman" w:eastAsia="Times New Roman" w:hAnsi="Times New Roman" w:cs="Times New Roman"/>
          <w:sz w:val="24"/>
          <w:szCs w:val="24"/>
        </w:rPr>
        <w:t xml:space="preserve"> AL. The FLASHE Study: Survey Development, Dyadic Perspectives, and Participant Characteristics. Am J Prev Med. 2017 Jun;52(6):839-848. </w:t>
      </w:r>
      <w:proofErr w:type="spellStart"/>
      <w:r w:rsidRPr="00A03CB5">
        <w:rPr>
          <w:rFonts w:ascii="Times New Roman" w:eastAsia="Times New Roman" w:hAnsi="Times New Roman" w:cs="Times New Roman"/>
          <w:sz w:val="24"/>
          <w:szCs w:val="24"/>
        </w:rPr>
        <w:t>doi</w:t>
      </w:r>
      <w:proofErr w:type="spellEnd"/>
      <w:r w:rsidRPr="00A03CB5">
        <w:rPr>
          <w:rFonts w:ascii="Times New Roman" w:eastAsia="Times New Roman" w:hAnsi="Times New Roman" w:cs="Times New Roman"/>
          <w:sz w:val="24"/>
          <w:szCs w:val="24"/>
        </w:rPr>
        <w:t>: 10.1016/j.amepre.2017.01.028.</w:t>
      </w:r>
    </w:p>
    <w:p w14:paraId="7B16A4B8" w14:textId="77777777" w:rsidR="006E4B3A" w:rsidRPr="00A03CB5" w:rsidRDefault="006E4B3A">
      <w:pPr>
        <w:spacing w:line="240" w:lineRule="auto"/>
        <w:jc w:val="both"/>
        <w:rPr>
          <w:rFonts w:ascii="Times New Roman" w:eastAsia="Times New Roman" w:hAnsi="Times New Roman" w:cs="Times New Roman"/>
          <w:sz w:val="24"/>
          <w:szCs w:val="24"/>
        </w:rPr>
      </w:pPr>
    </w:p>
    <w:p w14:paraId="2EBA2BFE"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Pedram</w:t>
      </w:r>
      <w:proofErr w:type="spellEnd"/>
      <w:r w:rsidRPr="00A03CB5">
        <w:rPr>
          <w:rFonts w:ascii="Times New Roman" w:eastAsia="Times New Roman" w:hAnsi="Times New Roman" w:cs="Times New Roman"/>
          <w:sz w:val="24"/>
          <w:szCs w:val="24"/>
        </w:rPr>
        <w:t xml:space="preserve">, P., </w:t>
      </w:r>
      <w:proofErr w:type="spellStart"/>
      <w:r w:rsidRPr="00A03CB5">
        <w:rPr>
          <w:rFonts w:ascii="Times New Roman" w:eastAsia="Times New Roman" w:hAnsi="Times New Roman" w:cs="Times New Roman"/>
          <w:sz w:val="24"/>
          <w:szCs w:val="24"/>
        </w:rPr>
        <w:t>Wadden</w:t>
      </w:r>
      <w:proofErr w:type="spellEnd"/>
      <w:r w:rsidRPr="00A03CB5">
        <w:rPr>
          <w:rFonts w:ascii="Times New Roman" w:eastAsia="Times New Roman" w:hAnsi="Times New Roman" w:cs="Times New Roman"/>
          <w:sz w:val="24"/>
          <w:szCs w:val="24"/>
        </w:rPr>
        <w:t xml:space="preserve">, D., </w:t>
      </w:r>
      <w:proofErr w:type="spellStart"/>
      <w:r w:rsidRPr="00A03CB5">
        <w:rPr>
          <w:rFonts w:ascii="Times New Roman" w:eastAsia="Times New Roman" w:hAnsi="Times New Roman" w:cs="Times New Roman"/>
          <w:sz w:val="24"/>
          <w:szCs w:val="24"/>
        </w:rPr>
        <w:t>Amini</w:t>
      </w:r>
      <w:proofErr w:type="spellEnd"/>
      <w:r w:rsidRPr="00A03CB5">
        <w:rPr>
          <w:rFonts w:ascii="Times New Roman" w:eastAsia="Times New Roman" w:hAnsi="Times New Roman" w:cs="Times New Roman"/>
          <w:sz w:val="24"/>
          <w:szCs w:val="24"/>
        </w:rPr>
        <w:t xml:space="preserve">, P., Gulliver, W., Randell, E., Cahill, F., ... &amp; Sun, G. (2013). Food addiction: Its prevalence and significant association with obesity in the general population. </w:t>
      </w:r>
      <w:proofErr w:type="spellStart"/>
      <w:r w:rsidRPr="00A03CB5">
        <w:rPr>
          <w:rFonts w:ascii="Times New Roman" w:eastAsia="Times New Roman" w:hAnsi="Times New Roman" w:cs="Times New Roman"/>
          <w:i/>
          <w:sz w:val="24"/>
          <w:szCs w:val="24"/>
        </w:rPr>
        <w:t>PLoS</w:t>
      </w:r>
      <w:proofErr w:type="spellEnd"/>
      <w:r w:rsidRPr="00A03CB5">
        <w:rPr>
          <w:rFonts w:ascii="Times New Roman" w:eastAsia="Times New Roman" w:hAnsi="Times New Roman" w:cs="Times New Roman"/>
          <w:i/>
          <w:sz w:val="24"/>
          <w:szCs w:val="24"/>
        </w:rPr>
        <w:t xml:space="preserve"> ONE, 8</w:t>
      </w:r>
      <w:r w:rsidRPr="00A03CB5">
        <w:rPr>
          <w:rFonts w:ascii="Times New Roman" w:eastAsia="Times New Roman" w:hAnsi="Times New Roman" w:cs="Times New Roman"/>
          <w:sz w:val="24"/>
          <w:szCs w:val="24"/>
        </w:rPr>
        <w:t xml:space="preserve">(9), e74832. </w:t>
      </w:r>
      <w:hyperlink r:id="rId17">
        <w:r w:rsidR="006E4B3A" w:rsidRPr="00A03CB5">
          <w:rPr>
            <w:rFonts w:ascii="Times New Roman" w:eastAsia="Times New Roman" w:hAnsi="Times New Roman" w:cs="Times New Roman"/>
            <w:sz w:val="24"/>
            <w:szCs w:val="24"/>
          </w:rPr>
          <w:t>https://doi.org/10.1371/journal.pone.0074832</w:t>
        </w:r>
      </w:hyperlink>
    </w:p>
    <w:p w14:paraId="37368092" w14:textId="77777777" w:rsidR="006E4B3A" w:rsidRPr="00A03CB5" w:rsidRDefault="006E4B3A">
      <w:pPr>
        <w:spacing w:line="240" w:lineRule="auto"/>
        <w:jc w:val="both"/>
        <w:rPr>
          <w:rFonts w:ascii="Times New Roman" w:eastAsia="Times New Roman" w:hAnsi="Times New Roman" w:cs="Times New Roman"/>
          <w:sz w:val="24"/>
          <w:szCs w:val="24"/>
        </w:rPr>
      </w:pPr>
    </w:p>
    <w:p w14:paraId="40EF3DF3"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Piccinni, A., </w:t>
      </w:r>
      <w:proofErr w:type="spellStart"/>
      <w:r w:rsidRPr="00A03CB5">
        <w:rPr>
          <w:rFonts w:ascii="Times New Roman" w:eastAsia="Times New Roman" w:hAnsi="Times New Roman" w:cs="Times New Roman"/>
          <w:sz w:val="24"/>
          <w:szCs w:val="24"/>
        </w:rPr>
        <w:t>Bucchi</w:t>
      </w:r>
      <w:proofErr w:type="spellEnd"/>
      <w:r w:rsidRPr="00A03CB5">
        <w:rPr>
          <w:rFonts w:ascii="Times New Roman" w:eastAsia="Times New Roman" w:hAnsi="Times New Roman" w:cs="Times New Roman"/>
          <w:sz w:val="24"/>
          <w:szCs w:val="24"/>
        </w:rPr>
        <w:t xml:space="preserve">, R., </w:t>
      </w:r>
      <w:proofErr w:type="spellStart"/>
      <w:r w:rsidRPr="00A03CB5">
        <w:rPr>
          <w:rFonts w:ascii="Times New Roman" w:eastAsia="Times New Roman" w:hAnsi="Times New Roman" w:cs="Times New Roman"/>
          <w:sz w:val="24"/>
          <w:szCs w:val="24"/>
        </w:rPr>
        <w:t>Fini</w:t>
      </w:r>
      <w:proofErr w:type="spellEnd"/>
      <w:r w:rsidRPr="00A03CB5">
        <w:rPr>
          <w:rFonts w:ascii="Times New Roman" w:eastAsia="Times New Roman" w:hAnsi="Times New Roman" w:cs="Times New Roman"/>
          <w:sz w:val="24"/>
          <w:szCs w:val="24"/>
        </w:rPr>
        <w:t xml:space="preserve">, C., </w:t>
      </w:r>
      <w:proofErr w:type="spellStart"/>
      <w:r w:rsidRPr="00A03CB5">
        <w:rPr>
          <w:rFonts w:ascii="Times New Roman" w:eastAsia="Times New Roman" w:hAnsi="Times New Roman" w:cs="Times New Roman"/>
          <w:sz w:val="24"/>
          <w:szCs w:val="24"/>
        </w:rPr>
        <w:t>Vanelli</w:t>
      </w:r>
      <w:proofErr w:type="spellEnd"/>
      <w:r w:rsidRPr="00A03CB5">
        <w:rPr>
          <w:rFonts w:ascii="Times New Roman" w:eastAsia="Times New Roman" w:hAnsi="Times New Roman" w:cs="Times New Roman"/>
          <w:sz w:val="24"/>
          <w:szCs w:val="24"/>
        </w:rPr>
        <w:t>, F., Mauri, M., Stallone, T., ... &amp; Claudio, C. (2021). Food addiction and psychiatric comorbidities: A review of current evidence. Eating and Weight Disorders-Studies on Anorexia, Bulimia and Obesity, 26, 1049-1056.</w:t>
      </w:r>
    </w:p>
    <w:p w14:paraId="3528761C" w14:textId="77777777" w:rsidR="006E4B3A" w:rsidRPr="00A03CB5" w:rsidRDefault="006E4B3A">
      <w:pPr>
        <w:spacing w:line="240" w:lineRule="auto"/>
        <w:jc w:val="both"/>
        <w:rPr>
          <w:rFonts w:ascii="Times New Roman" w:eastAsia="Times New Roman" w:hAnsi="Times New Roman" w:cs="Times New Roman"/>
          <w:sz w:val="24"/>
          <w:szCs w:val="24"/>
        </w:rPr>
      </w:pPr>
    </w:p>
    <w:p w14:paraId="6C47DA0C"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Pursey</w:t>
      </w:r>
      <w:proofErr w:type="spellEnd"/>
      <w:r w:rsidRPr="00A03CB5">
        <w:rPr>
          <w:rFonts w:ascii="Times New Roman" w:eastAsia="Times New Roman" w:hAnsi="Times New Roman" w:cs="Times New Roman"/>
          <w:sz w:val="24"/>
          <w:szCs w:val="24"/>
        </w:rPr>
        <w:t xml:space="preserve">, K. M., Stanwell, P., </w:t>
      </w: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A. N., Collins, C. E., &amp; Burrows, T. L. (2014). The prevalence of food addiction as assessed by the Yale Food Addiction Scale: A systematic review. </w:t>
      </w:r>
      <w:r w:rsidRPr="00A03CB5">
        <w:rPr>
          <w:rFonts w:ascii="Times New Roman" w:eastAsia="Times New Roman" w:hAnsi="Times New Roman" w:cs="Times New Roman"/>
          <w:i/>
          <w:sz w:val="24"/>
          <w:szCs w:val="24"/>
        </w:rPr>
        <w:t>Nutrients, 6</w:t>
      </w:r>
      <w:r w:rsidRPr="00A03CB5">
        <w:rPr>
          <w:rFonts w:ascii="Times New Roman" w:eastAsia="Times New Roman" w:hAnsi="Times New Roman" w:cs="Times New Roman"/>
          <w:sz w:val="24"/>
          <w:szCs w:val="24"/>
        </w:rPr>
        <w:t xml:space="preserve">(10), 4552–4590. </w:t>
      </w:r>
      <w:hyperlink r:id="rId18">
        <w:r w:rsidR="006E4B3A" w:rsidRPr="00A03CB5">
          <w:rPr>
            <w:rFonts w:ascii="Times New Roman" w:eastAsia="Times New Roman" w:hAnsi="Times New Roman" w:cs="Times New Roman"/>
            <w:sz w:val="24"/>
            <w:szCs w:val="24"/>
          </w:rPr>
          <w:t>https://doi.org/10.3390/nu6104552</w:t>
        </w:r>
      </w:hyperlink>
    </w:p>
    <w:p w14:paraId="1B850250" w14:textId="77777777" w:rsidR="006E4B3A" w:rsidRPr="00A03CB5" w:rsidRDefault="006E4B3A">
      <w:pPr>
        <w:spacing w:line="240" w:lineRule="auto"/>
        <w:jc w:val="both"/>
        <w:rPr>
          <w:rFonts w:ascii="Times New Roman" w:eastAsia="Times New Roman" w:hAnsi="Times New Roman" w:cs="Times New Roman"/>
          <w:sz w:val="24"/>
          <w:szCs w:val="24"/>
        </w:rPr>
      </w:pPr>
    </w:p>
    <w:p w14:paraId="58B66597"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Reche</w:t>
      </w:r>
      <w:proofErr w:type="spellEnd"/>
      <w:r w:rsidRPr="00A03CB5">
        <w:rPr>
          <w:rFonts w:ascii="Times New Roman" w:eastAsia="Times New Roman" w:hAnsi="Times New Roman" w:cs="Times New Roman"/>
          <w:sz w:val="24"/>
          <w:szCs w:val="24"/>
        </w:rPr>
        <w:t xml:space="preserve">-García, C., &amp; Martínez-Olmos, M. (2022). The role of food addiction in the association between ultra-processed food consumption and body composition in children: A mediation analysis. </w:t>
      </w:r>
      <w:r w:rsidRPr="00A03CB5">
        <w:rPr>
          <w:rFonts w:ascii="Times New Roman" w:eastAsia="Times New Roman" w:hAnsi="Times New Roman" w:cs="Times New Roman"/>
          <w:i/>
          <w:sz w:val="24"/>
          <w:szCs w:val="24"/>
        </w:rPr>
        <w:t>Clinical Nutrition</w:t>
      </w:r>
      <w:r w:rsidRPr="00A03CB5">
        <w:rPr>
          <w:rFonts w:ascii="Times New Roman" w:eastAsia="Times New Roman" w:hAnsi="Times New Roman" w:cs="Times New Roman"/>
          <w:sz w:val="24"/>
          <w:szCs w:val="24"/>
        </w:rPr>
        <w:t>, 41(12), 2931–2938. https://doi.org/10.1016/j.clnu.2022.10.001</w:t>
      </w:r>
    </w:p>
    <w:p w14:paraId="68644A57" w14:textId="77777777" w:rsidR="006E4B3A" w:rsidRPr="00A03CB5" w:rsidRDefault="006E4B3A">
      <w:pPr>
        <w:spacing w:line="240" w:lineRule="auto"/>
        <w:jc w:val="both"/>
        <w:rPr>
          <w:rFonts w:ascii="Times New Roman" w:eastAsia="Times New Roman" w:hAnsi="Times New Roman" w:cs="Times New Roman"/>
          <w:sz w:val="24"/>
          <w:szCs w:val="24"/>
        </w:rPr>
      </w:pPr>
    </w:p>
    <w:p w14:paraId="6A84C870"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Schlüter, M., </w:t>
      </w:r>
      <w:proofErr w:type="spellStart"/>
      <w:r w:rsidRPr="00A03CB5">
        <w:rPr>
          <w:rFonts w:ascii="Times New Roman" w:eastAsia="Times New Roman" w:hAnsi="Times New Roman" w:cs="Times New Roman"/>
          <w:sz w:val="24"/>
          <w:szCs w:val="24"/>
        </w:rPr>
        <w:t>Tavoni</w:t>
      </w:r>
      <w:proofErr w:type="spellEnd"/>
      <w:r w:rsidRPr="00A03CB5">
        <w:rPr>
          <w:rFonts w:ascii="Times New Roman" w:eastAsia="Times New Roman" w:hAnsi="Times New Roman" w:cs="Times New Roman"/>
          <w:sz w:val="24"/>
          <w:szCs w:val="24"/>
        </w:rPr>
        <w:t xml:space="preserve">, A., Levin, S., &amp; </w:t>
      </w:r>
      <w:proofErr w:type="spellStart"/>
      <w:r w:rsidRPr="00A03CB5">
        <w:rPr>
          <w:rFonts w:ascii="Times New Roman" w:eastAsia="Times New Roman" w:hAnsi="Times New Roman" w:cs="Times New Roman"/>
          <w:sz w:val="24"/>
          <w:szCs w:val="24"/>
        </w:rPr>
        <w:t>Feola</w:t>
      </w:r>
      <w:proofErr w:type="spellEnd"/>
      <w:r w:rsidRPr="00A03CB5">
        <w:rPr>
          <w:rFonts w:ascii="Times New Roman" w:eastAsia="Times New Roman" w:hAnsi="Times New Roman" w:cs="Times New Roman"/>
          <w:sz w:val="24"/>
          <w:szCs w:val="24"/>
        </w:rPr>
        <w:t xml:space="preserve">, G. (2017). Resource users' behavior, institutions, and sustainability: Exploring linkages between resilience and robustness in social-ecological systems. </w:t>
      </w:r>
      <w:r w:rsidRPr="00A03CB5">
        <w:rPr>
          <w:rFonts w:ascii="Times New Roman" w:eastAsia="Times New Roman" w:hAnsi="Times New Roman" w:cs="Times New Roman"/>
          <w:i/>
          <w:sz w:val="24"/>
          <w:szCs w:val="24"/>
        </w:rPr>
        <w:t>Annual Review of Environment and Resources</w:t>
      </w:r>
      <w:r w:rsidRPr="00A03CB5">
        <w:rPr>
          <w:rFonts w:ascii="Times New Roman" w:eastAsia="Times New Roman" w:hAnsi="Times New Roman" w:cs="Times New Roman"/>
          <w:sz w:val="24"/>
          <w:szCs w:val="24"/>
        </w:rPr>
        <w:t>, 42(1), 39-62.</w:t>
      </w:r>
    </w:p>
    <w:p w14:paraId="030A72EB" w14:textId="77777777" w:rsidR="006E4B3A" w:rsidRPr="00A03CB5" w:rsidRDefault="006E4B3A">
      <w:pPr>
        <w:spacing w:line="240" w:lineRule="auto"/>
        <w:jc w:val="both"/>
        <w:rPr>
          <w:rFonts w:ascii="Times New Roman" w:eastAsia="Times New Roman" w:hAnsi="Times New Roman" w:cs="Times New Roman"/>
          <w:sz w:val="24"/>
          <w:szCs w:val="24"/>
        </w:rPr>
      </w:pPr>
    </w:p>
    <w:p w14:paraId="42E74902"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Schmidt, U., Adan, R., </w:t>
      </w:r>
      <w:proofErr w:type="spellStart"/>
      <w:r w:rsidRPr="00A03CB5">
        <w:rPr>
          <w:rFonts w:ascii="Times New Roman" w:eastAsia="Times New Roman" w:hAnsi="Times New Roman" w:cs="Times New Roman"/>
          <w:sz w:val="24"/>
          <w:szCs w:val="24"/>
        </w:rPr>
        <w:t>Böhm</w:t>
      </w:r>
      <w:proofErr w:type="spellEnd"/>
      <w:r w:rsidRPr="00A03CB5">
        <w:rPr>
          <w:rFonts w:ascii="Times New Roman" w:eastAsia="Times New Roman" w:hAnsi="Times New Roman" w:cs="Times New Roman"/>
          <w:sz w:val="24"/>
          <w:szCs w:val="24"/>
        </w:rPr>
        <w:t xml:space="preserve">, I., Campbell, I. C., </w:t>
      </w:r>
      <w:proofErr w:type="spellStart"/>
      <w:r w:rsidRPr="00A03CB5">
        <w:rPr>
          <w:rFonts w:ascii="Times New Roman" w:eastAsia="Times New Roman" w:hAnsi="Times New Roman" w:cs="Times New Roman"/>
          <w:sz w:val="24"/>
          <w:szCs w:val="24"/>
        </w:rPr>
        <w:t>Dingemans</w:t>
      </w:r>
      <w:proofErr w:type="spellEnd"/>
      <w:r w:rsidRPr="00A03CB5">
        <w:rPr>
          <w:rFonts w:ascii="Times New Roman" w:eastAsia="Times New Roman" w:hAnsi="Times New Roman" w:cs="Times New Roman"/>
          <w:sz w:val="24"/>
          <w:szCs w:val="24"/>
        </w:rPr>
        <w:t xml:space="preserve">, A., Ehrlich, S., </w:t>
      </w:r>
      <w:proofErr w:type="spellStart"/>
      <w:r w:rsidRPr="00A03CB5">
        <w:rPr>
          <w:rFonts w:ascii="Times New Roman" w:eastAsia="Times New Roman" w:hAnsi="Times New Roman" w:cs="Times New Roman"/>
          <w:sz w:val="24"/>
          <w:szCs w:val="24"/>
        </w:rPr>
        <w:t>Elzakkers</w:t>
      </w:r>
      <w:proofErr w:type="spellEnd"/>
      <w:r w:rsidRPr="00A03CB5">
        <w:rPr>
          <w:rFonts w:ascii="Times New Roman" w:eastAsia="Times New Roman" w:hAnsi="Times New Roman" w:cs="Times New Roman"/>
          <w:sz w:val="24"/>
          <w:szCs w:val="24"/>
        </w:rPr>
        <w:t xml:space="preserve">, I., </w:t>
      </w:r>
      <w:proofErr w:type="spellStart"/>
      <w:r w:rsidRPr="00A03CB5">
        <w:rPr>
          <w:rFonts w:ascii="Times New Roman" w:eastAsia="Times New Roman" w:hAnsi="Times New Roman" w:cs="Times New Roman"/>
          <w:sz w:val="24"/>
          <w:szCs w:val="24"/>
        </w:rPr>
        <w:t>Favaro</w:t>
      </w:r>
      <w:proofErr w:type="spellEnd"/>
      <w:r w:rsidRPr="00A03CB5">
        <w:rPr>
          <w:rFonts w:ascii="Times New Roman" w:eastAsia="Times New Roman" w:hAnsi="Times New Roman" w:cs="Times New Roman"/>
          <w:sz w:val="24"/>
          <w:szCs w:val="24"/>
        </w:rPr>
        <w:t xml:space="preserve">, A., Giel, K., Harrison, A., </w:t>
      </w:r>
      <w:proofErr w:type="spellStart"/>
      <w:r w:rsidRPr="00A03CB5">
        <w:rPr>
          <w:rFonts w:ascii="Times New Roman" w:eastAsia="Times New Roman" w:hAnsi="Times New Roman" w:cs="Times New Roman"/>
          <w:sz w:val="24"/>
          <w:szCs w:val="24"/>
        </w:rPr>
        <w:t>Himmerich</w:t>
      </w:r>
      <w:proofErr w:type="spellEnd"/>
      <w:r w:rsidRPr="00A03CB5">
        <w:rPr>
          <w:rFonts w:ascii="Times New Roman" w:eastAsia="Times New Roman" w:hAnsi="Times New Roman" w:cs="Times New Roman"/>
          <w:sz w:val="24"/>
          <w:szCs w:val="24"/>
        </w:rPr>
        <w:t xml:space="preserve">, H., Hoek, H. W., </w:t>
      </w:r>
      <w:proofErr w:type="spellStart"/>
      <w:r w:rsidRPr="00A03CB5">
        <w:rPr>
          <w:rFonts w:ascii="Times New Roman" w:eastAsia="Times New Roman" w:hAnsi="Times New Roman" w:cs="Times New Roman"/>
          <w:sz w:val="24"/>
          <w:szCs w:val="24"/>
        </w:rPr>
        <w:t>Herpertz-Dahlmann</w:t>
      </w:r>
      <w:proofErr w:type="spellEnd"/>
      <w:r w:rsidRPr="00A03CB5">
        <w:rPr>
          <w:rFonts w:ascii="Times New Roman" w:eastAsia="Times New Roman" w:hAnsi="Times New Roman" w:cs="Times New Roman"/>
          <w:sz w:val="24"/>
          <w:szCs w:val="24"/>
        </w:rPr>
        <w:t xml:space="preserve">, B., Kas, M. J., Seitz, J., </w:t>
      </w:r>
      <w:proofErr w:type="spellStart"/>
      <w:r w:rsidRPr="00A03CB5">
        <w:rPr>
          <w:rFonts w:ascii="Times New Roman" w:eastAsia="Times New Roman" w:hAnsi="Times New Roman" w:cs="Times New Roman"/>
          <w:sz w:val="24"/>
          <w:szCs w:val="24"/>
        </w:rPr>
        <w:t>Smeets</w:t>
      </w:r>
      <w:proofErr w:type="spellEnd"/>
      <w:r w:rsidRPr="00A03CB5">
        <w:rPr>
          <w:rFonts w:ascii="Times New Roman" w:eastAsia="Times New Roman" w:hAnsi="Times New Roman" w:cs="Times New Roman"/>
          <w:sz w:val="24"/>
          <w:szCs w:val="24"/>
        </w:rPr>
        <w:t xml:space="preserve">, P., </w:t>
      </w:r>
      <w:proofErr w:type="spellStart"/>
      <w:r w:rsidRPr="00A03CB5">
        <w:rPr>
          <w:rFonts w:ascii="Times New Roman" w:eastAsia="Times New Roman" w:hAnsi="Times New Roman" w:cs="Times New Roman"/>
          <w:sz w:val="24"/>
          <w:szCs w:val="24"/>
        </w:rPr>
        <w:t>Sternheim</w:t>
      </w:r>
      <w:proofErr w:type="spellEnd"/>
      <w:r w:rsidRPr="00A03CB5">
        <w:rPr>
          <w:rFonts w:ascii="Times New Roman" w:eastAsia="Times New Roman" w:hAnsi="Times New Roman" w:cs="Times New Roman"/>
          <w:sz w:val="24"/>
          <w:szCs w:val="24"/>
        </w:rPr>
        <w:t xml:space="preserve">, L., </w:t>
      </w:r>
      <w:proofErr w:type="spellStart"/>
      <w:r w:rsidRPr="00A03CB5">
        <w:rPr>
          <w:rFonts w:ascii="Times New Roman" w:eastAsia="Times New Roman" w:hAnsi="Times New Roman" w:cs="Times New Roman"/>
          <w:sz w:val="24"/>
          <w:szCs w:val="24"/>
        </w:rPr>
        <w:t>Tenconi</w:t>
      </w:r>
      <w:proofErr w:type="spellEnd"/>
      <w:r w:rsidRPr="00A03CB5">
        <w:rPr>
          <w:rFonts w:ascii="Times New Roman" w:eastAsia="Times New Roman" w:hAnsi="Times New Roman" w:cs="Times New Roman"/>
          <w:sz w:val="24"/>
          <w:szCs w:val="24"/>
        </w:rPr>
        <w:t xml:space="preserve">, E., van Elburg, A., van Furth, E., &amp; Zipfel, S. (2016). Eating disorders: The big issue. </w:t>
      </w:r>
      <w:r w:rsidRPr="00A03CB5">
        <w:rPr>
          <w:rFonts w:ascii="Times New Roman" w:eastAsia="Times New Roman" w:hAnsi="Times New Roman" w:cs="Times New Roman"/>
          <w:i/>
          <w:sz w:val="24"/>
          <w:szCs w:val="24"/>
        </w:rPr>
        <w:t>The Lancet Psychiatry, 3</w:t>
      </w:r>
      <w:r w:rsidRPr="00A03CB5">
        <w:rPr>
          <w:rFonts w:ascii="Times New Roman" w:eastAsia="Times New Roman" w:hAnsi="Times New Roman" w:cs="Times New Roman"/>
          <w:sz w:val="24"/>
          <w:szCs w:val="24"/>
        </w:rPr>
        <w:t xml:space="preserve">(4), 313–315. </w:t>
      </w:r>
      <w:hyperlink r:id="rId19">
        <w:r w:rsidR="006E4B3A" w:rsidRPr="00A03CB5">
          <w:rPr>
            <w:rFonts w:ascii="Times New Roman" w:eastAsia="Times New Roman" w:hAnsi="Times New Roman" w:cs="Times New Roman"/>
            <w:sz w:val="24"/>
            <w:szCs w:val="24"/>
          </w:rPr>
          <w:t>https://doi.org/10.1016/S2215-0366(16)00081-X</w:t>
        </w:r>
      </w:hyperlink>
    </w:p>
    <w:p w14:paraId="3DE8AEF1" w14:textId="77777777" w:rsidR="006E4B3A" w:rsidRPr="00A03CB5" w:rsidRDefault="006E4B3A">
      <w:pPr>
        <w:spacing w:line="240" w:lineRule="auto"/>
        <w:jc w:val="both"/>
        <w:rPr>
          <w:rFonts w:ascii="Times New Roman" w:eastAsia="Times New Roman" w:hAnsi="Times New Roman" w:cs="Times New Roman"/>
          <w:sz w:val="24"/>
          <w:szCs w:val="24"/>
        </w:rPr>
      </w:pPr>
    </w:p>
    <w:p w14:paraId="228C1C88"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Schulte, E. M., &amp; </w:t>
      </w:r>
      <w:proofErr w:type="spellStart"/>
      <w:r w:rsidRPr="00A03CB5">
        <w:rPr>
          <w:rFonts w:ascii="Times New Roman" w:eastAsia="Times New Roman" w:hAnsi="Times New Roman" w:cs="Times New Roman"/>
          <w:sz w:val="24"/>
          <w:szCs w:val="24"/>
        </w:rPr>
        <w:t>Gearhardt</w:t>
      </w:r>
      <w:proofErr w:type="spellEnd"/>
      <w:r w:rsidRPr="00A03CB5">
        <w:rPr>
          <w:rFonts w:ascii="Times New Roman" w:eastAsia="Times New Roman" w:hAnsi="Times New Roman" w:cs="Times New Roman"/>
          <w:sz w:val="24"/>
          <w:szCs w:val="24"/>
        </w:rPr>
        <w:t xml:space="preserve">, A. N. (2017). Development of the Modified Yale Food Addiction Scale Version 2.0. </w:t>
      </w:r>
      <w:r w:rsidRPr="00A03CB5">
        <w:rPr>
          <w:rFonts w:ascii="Times New Roman" w:eastAsia="Times New Roman" w:hAnsi="Times New Roman" w:cs="Times New Roman"/>
          <w:i/>
          <w:sz w:val="24"/>
          <w:szCs w:val="24"/>
        </w:rPr>
        <w:t>European Eating Disorders Review, 25</w:t>
      </w:r>
      <w:r w:rsidRPr="00A03CB5">
        <w:rPr>
          <w:rFonts w:ascii="Times New Roman" w:eastAsia="Times New Roman" w:hAnsi="Times New Roman" w:cs="Times New Roman"/>
          <w:sz w:val="24"/>
          <w:szCs w:val="24"/>
        </w:rPr>
        <w:t>(4), 302–308. https://doi.org/10.1002/erv.2515</w:t>
      </w:r>
    </w:p>
    <w:p w14:paraId="742F6418" w14:textId="77777777" w:rsidR="006E4B3A" w:rsidRPr="00A03CB5" w:rsidRDefault="006E4B3A">
      <w:pPr>
        <w:spacing w:line="240" w:lineRule="auto"/>
        <w:jc w:val="both"/>
        <w:rPr>
          <w:rFonts w:ascii="Times New Roman" w:eastAsia="Times New Roman" w:hAnsi="Times New Roman" w:cs="Times New Roman"/>
          <w:sz w:val="24"/>
          <w:szCs w:val="24"/>
        </w:rPr>
      </w:pPr>
    </w:p>
    <w:p w14:paraId="591FF2FD"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Stice</w:t>
      </w:r>
      <w:proofErr w:type="spellEnd"/>
      <w:r w:rsidRPr="00A03CB5">
        <w:rPr>
          <w:rFonts w:ascii="Times New Roman" w:eastAsia="Times New Roman" w:hAnsi="Times New Roman" w:cs="Times New Roman"/>
          <w:sz w:val="24"/>
          <w:szCs w:val="24"/>
        </w:rPr>
        <w:t xml:space="preserve">, E., </w:t>
      </w:r>
      <w:proofErr w:type="spellStart"/>
      <w:r w:rsidRPr="00A03CB5">
        <w:rPr>
          <w:rFonts w:ascii="Times New Roman" w:eastAsia="Times New Roman" w:hAnsi="Times New Roman" w:cs="Times New Roman"/>
          <w:sz w:val="24"/>
          <w:szCs w:val="24"/>
        </w:rPr>
        <w:t>Telch</w:t>
      </w:r>
      <w:proofErr w:type="spellEnd"/>
      <w:r w:rsidRPr="00A03CB5">
        <w:rPr>
          <w:rFonts w:ascii="Times New Roman" w:eastAsia="Times New Roman" w:hAnsi="Times New Roman" w:cs="Times New Roman"/>
          <w:sz w:val="24"/>
          <w:szCs w:val="24"/>
        </w:rPr>
        <w:t xml:space="preserve">, C. F., &amp; Rizvi, S. L. (2000). Development and validation of the Eating Disorder Diagnostic Scale: A brief self-report measure of anorexia, bulimia, and binge-eating disorder. </w:t>
      </w:r>
      <w:r w:rsidRPr="00A03CB5">
        <w:rPr>
          <w:rFonts w:ascii="Times New Roman" w:eastAsia="Times New Roman" w:hAnsi="Times New Roman" w:cs="Times New Roman"/>
          <w:i/>
          <w:sz w:val="24"/>
          <w:szCs w:val="24"/>
        </w:rPr>
        <w:t>Psychological Assessment, 12</w:t>
      </w:r>
      <w:r w:rsidRPr="00A03CB5">
        <w:rPr>
          <w:rFonts w:ascii="Times New Roman" w:eastAsia="Times New Roman" w:hAnsi="Times New Roman" w:cs="Times New Roman"/>
          <w:sz w:val="24"/>
          <w:szCs w:val="24"/>
        </w:rPr>
        <w:t xml:space="preserve">(2), 123–131. </w:t>
      </w:r>
      <w:hyperlink r:id="rId20">
        <w:r w:rsidR="006E4B3A" w:rsidRPr="00A03CB5">
          <w:rPr>
            <w:rFonts w:ascii="Times New Roman" w:eastAsia="Times New Roman" w:hAnsi="Times New Roman" w:cs="Times New Roman"/>
            <w:sz w:val="24"/>
            <w:szCs w:val="24"/>
          </w:rPr>
          <w:t>https://doi.org/10.1037/1040-3590.12.2.123</w:t>
        </w:r>
      </w:hyperlink>
    </w:p>
    <w:p w14:paraId="39B9C0EE" w14:textId="77777777" w:rsidR="006E4B3A" w:rsidRPr="00A03CB5" w:rsidRDefault="006E4B3A">
      <w:pPr>
        <w:spacing w:line="240" w:lineRule="auto"/>
        <w:jc w:val="both"/>
        <w:rPr>
          <w:rFonts w:ascii="Times New Roman" w:eastAsia="Times New Roman" w:hAnsi="Times New Roman" w:cs="Times New Roman"/>
          <w:sz w:val="24"/>
          <w:szCs w:val="24"/>
        </w:rPr>
      </w:pPr>
    </w:p>
    <w:p w14:paraId="262B4F51" w14:textId="77777777" w:rsidR="006E4B3A" w:rsidRPr="00A03CB5" w:rsidRDefault="00000000">
      <w:pPr>
        <w:spacing w:line="240" w:lineRule="auto"/>
        <w:jc w:val="both"/>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Walker, R. E., Keane, C. R., &amp; Burke, J. G. (2010). Disparities and access to healthy food in the United States: A review of food deserts literature. </w:t>
      </w:r>
      <w:r w:rsidRPr="00A03CB5">
        <w:rPr>
          <w:rFonts w:ascii="Times New Roman" w:eastAsia="Times New Roman" w:hAnsi="Times New Roman" w:cs="Times New Roman"/>
          <w:i/>
          <w:sz w:val="24"/>
          <w:szCs w:val="24"/>
        </w:rPr>
        <w:t>Health &amp; Place, 16</w:t>
      </w:r>
      <w:r w:rsidRPr="00A03CB5">
        <w:rPr>
          <w:rFonts w:ascii="Times New Roman" w:eastAsia="Times New Roman" w:hAnsi="Times New Roman" w:cs="Times New Roman"/>
          <w:sz w:val="24"/>
          <w:szCs w:val="24"/>
        </w:rPr>
        <w:t>(5), 876-884.</w:t>
      </w:r>
    </w:p>
    <w:p w14:paraId="668E9CA2" w14:textId="77777777" w:rsidR="006E4B3A" w:rsidRPr="00A03CB5" w:rsidRDefault="006E4B3A">
      <w:pPr>
        <w:spacing w:line="240" w:lineRule="auto"/>
        <w:jc w:val="both"/>
        <w:rPr>
          <w:rFonts w:ascii="Times New Roman" w:eastAsia="Times New Roman" w:hAnsi="Times New Roman" w:cs="Times New Roman"/>
          <w:sz w:val="24"/>
          <w:szCs w:val="24"/>
        </w:rPr>
      </w:pPr>
    </w:p>
    <w:p w14:paraId="081BD443" w14:textId="77777777" w:rsidR="006E4B3A" w:rsidRPr="00A03CB5" w:rsidRDefault="00000000">
      <w:pPr>
        <w:spacing w:line="240" w:lineRule="auto"/>
        <w:jc w:val="both"/>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lastRenderedPageBreak/>
        <w:t>Whatnall</w:t>
      </w:r>
      <w:proofErr w:type="spellEnd"/>
      <w:r w:rsidRPr="00A03CB5">
        <w:rPr>
          <w:rFonts w:ascii="Times New Roman" w:eastAsia="Times New Roman" w:hAnsi="Times New Roman" w:cs="Times New Roman"/>
          <w:sz w:val="24"/>
          <w:szCs w:val="24"/>
        </w:rPr>
        <w:t xml:space="preserve">, M. C., Patterson, A. J., Ashton, L. M., &amp; </w:t>
      </w:r>
      <w:proofErr w:type="spellStart"/>
      <w:r w:rsidRPr="00A03CB5">
        <w:rPr>
          <w:rFonts w:ascii="Times New Roman" w:eastAsia="Times New Roman" w:hAnsi="Times New Roman" w:cs="Times New Roman"/>
          <w:sz w:val="24"/>
          <w:szCs w:val="24"/>
        </w:rPr>
        <w:t>Hutchesson</w:t>
      </w:r>
      <w:proofErr w:type="spellEnd"/>
      <w:r w:rsidRPr="00A03CB5">
        <w:rPr>
          <w:rFonts w:ascii="Times New Roman" w:eastAsia="Times New Roman" w:hAnsi="Times New Roman" w:cs="Times New Roman"/>
          <w:sz w:val="24"/>
          <w:szCs w:val="24"/>
        </w:rPr>
        <w:t xml:space="preserve">, M. J. (2022). Are food addiction and poor mental health associated with dietary patterns in young Australian adults? </w:t>
      </w:r>
      <w:r w:rsidRPr="00A03CB5">
        <w:rPr>
          <w:rFonts w:ascii="Times New Roman" w:eastAsia="Times New Roman" w:hAnsi="Times New Roman" w:cs="Times New Roman"/>
          <w:i/>
          <w:sz w:val="24"/>
          <w:szCs w:val="24"/>
        </w:rPr>
        <w:t>Journal of Nutrition Education and Behavior, 54</w:t>
      </w:r>
      <w:r w:rsidRPr="00A03CB5">
        <w:rPr>
          <w:rFonts w:ascii="Times New Roman" w:eastAsia="Times New Roman" w:hAnsi="Times New Roman" w:cs="Times New Roman"/>
          <w:sz w:val="24"/>
          <w:szCs w:val="24"/>
        </w:rPr>
        <w:t xml:space="preserve">(4), 333–341. </w:t>
      </w:r>
      <w:hyperlink r:id="rId21">
        <w:r w:rsidR="006E4B3A" w:rsidRPr="00A03CB5">
          <w:rPr>
            <w:rFonts w:ascii="Times New Roman" w:eastAsia="Times New Roman" w:hAnsi="Times New Roman" w:cs="Times New Roman"/>
            <w:sz w:val="24"/>
            <w:szCs w:val="24"/>
          </w:rPr>
          <w:t>https://doi.org/10.1016/j.jneb.2022.01.010</w:t>
        </w:r>
      </w:hyperlink>
    </w:p>
    <w:p w14:paraId="2EAAC6E9" w14:textId="77777777" w:rsidR="006E4B3A" w:rsidRPr="00A03CB5" w:rsidRDefault="006E4B3A">
      <w:pPr>
        <w:spacing w:line="240" w:lineRule="auto"/>
        <w:jc w:val="both"/>
        <w:rPr>
          <w:rFonts w:ascii="Times New Roman" w:eastAsia="Times New Roman" w:hAnsi="Times New Roman" w:cs="Times New Roman"/>
          <w:sz w:val="24"/>
          <w:szCs w:val="24"/>
        </w:rPr>
      </w:pPr>
    </w:p>
    <w:p w14:paraId="689DB7CD" w14:textId="77777777" w:rsidR="006E4B3A" w:rsidRPr="00A03CB5" w:rsidRDefault="006E4B3A">
      <w:pPr>
        <w:spacing w:line="240" w:lineRule="auto"/>
        <w:jc w:val="both"/>
        <w:rPr>
          <w:rFonts w:ascii="Times New Roman" w:eastAsia="Times New Roman" w:hAnsi="Times New Roman" w:cs="Times New Roman"/>
          <w:sz w:val="24"/>
          <w:szCs w:val="24"/>
        </w:rPr>
      </w:pPr>
    </w:p>
    <w:p w14:paraId="05A1278A" w14:textId="77777777" w:rsidR="006E4B3A" w:rsidRPr="00A03CB5" w:rsidRDefault="006E4B3A">
      <w:pPr>
        <w:spacing w:line="240" w:lineRule="auto"/>
        <w:jc w:val="both"/>
        <w:rPr>
          <w:rFonts w:ascii="Times New Roman" w:eastAsia="Times New Roman" w:hAnsi="Times New Roman" w:cs="Times New Roman"/>
          <w:sz w:val="24"/>
          <w:szCs w:val="24"/>
        </w:rPr>
      </w:pPr>
    </w:p>
    <w:p w14:paraId="12769A79" w14:textId="77777777" w:rsidR="006E4B3A" w:rsidRPr="00A03CB5" w:rsidRDefault="006E4B3A">
      <w:pPr>
        <w:spacing w:line="240" w:lineRule="auto"/>
        <w:jc w:val="both"/>
        <w:rPr>
          <w:rFonts w:ascii="Times New Roman" w:eastAsia="Times New Roman" w:hAnsi="Times New Roman" w:cs="Times New Roman"/>
          <w:sz w:val="24"/>
          <w:szCs w:val="24"/>
        </w:rPr>
      </w:pPr>
    </w:p>
    <w:p w14:paraId="6B10D66B" w14:textId="77777777" w:rsidR="006E4B3A" w:rsidRPr="00A03CB5" w:rsidRDefault="006E4B3A">
      <w:pPr>
        <w:spacing w:line="240" w:lineRule="auto"/>
        <w:jc w:val="both"/>
        <w:rPr>
          <w:rFonts w:ascii="Times New Roman" w:eastAsia="Times New Roman" w:hAnsi="Times New Roman" w:cs="Times New Roman"/>
          <w:sz w:val="24"/>
          <w:szCs w:val="24"/>
        </w:rPr>
      </w:pPr>
    </w:p>
    <w:p w14:paraId="7FFEA521" w14:textId="77777777" w:rsidR="006E4B3A" w:rsidRPr="00A03CB5" w:rsidRDefault="006E4B3A">
      <w:pPr>
        <w:spacing w:line="240" w:lineRule="auto"/>
        <w:jc w:val="both"/>
        <w:rPr>
          <w:rFonts w:ascii="Times New Roman" w:eastAsia="Times New Roman" w:hAnsi="Times New Roman" w:cs="Times New Roman"/>
          <w:sz w:val="24"/>
          <w:szCs w:val="24"/>
        </w:rPr>
      </w:pPr>
    </w:p>
    <w:p w14:paraId="60C9D214" w14:textId="77777777" w:rsidR="000311C3" w:rsidRPr="00A03CB5" w:rsidRDefault="000311C3">
      <w:pPr>
        <w:spacing w:line="240" w:lineRule="auto"/>
        <w:jc w:val="both"/>
        <w:rPr>
          <w:rFonts w:ascii="Times New Roman" w:eastAsia="Times New Roman" w:hAnsi="Times New Roman" w:cs="Times New Roman"/>
          <w:sz w:val="24"/>
          <w:szCs w:val="24"/>
        </w:rPr>
      </w:pPr>
    </w:p>
    <w:p w14:paraId="7754AB4C" w14:textId="77777777" w:rsidR="000311C3" w:rsidRPr="00A03CB5" w:rsidRDefault="000311C3">
      <w:pPr>
        <w:spacing w:line="240" w:lineRule="auto"/>
        <w:jc w:val="both"/>
        <w:rPr>
          <w:rFonts w:ascii="Times New Roman" w:eastAsia="Times New Roman" w:hAnsi="Times New Roman" w:cs="Times New Roman"/>
          <w:sz w:val="24"/>
          <w:szCs w:val="24"/>
        </w:rPr>
      </w:pPr>
    </w:p>
    <w:p w14:paraId="6711D028" w14:textId="77777777" w:rsidR="006E4B3A" w:rsidRPr="00A03CB5" w:rsidRDefault="006E4B3A">
      <w:pPr>
        <w:spacing w:line="240" w:lineRule="auto"/>
        <w:jc w:val="both"/>
        <w:rPr>
          <w:rFonts w:ascii="Times New Roman" w:hAnsi="Times New Roman" w:cs="Times New Roman"/>
          <w:sz w:val="24"/>
          <w:szCs w:val="24"/>
        </w:rPr>
      </w:pPr>
    </w:p>
    <w:p w14:paraId="316B8166" w14:textId="77777777" w:rsidR="006E4B3A" w:rsidRPr="00A03CB5" w:rsidRDefault="00000000">
      <w:pPr>
        <w:numPr>
          <w:ilvl w:val="0"/>
          <w:numId w:val="9"/>
        </w:numPr>
        <w:spacing w:line="240" w:lineRule="auto"/>
        <w:jc w:val="center"/>
        <w:rPr>
          <w:rFonts w:ascii="Times New Roman" w:eastAsia="Times New Roman" w:hAnsi="Times New Roman" w:cs="Times New Roman"/>
          <w:b/>
          <w:sz w:val="24"/>
          <w:szCs w:val="24"/>
        </w:rPr>
      </w:pPr>
      <w:r w:rsidRPr="00A03CB5">
        <w:rPr>
          <w:rFonts w:ascii="Times New Roman" w:eastAsia="Times New Roman" w:hAnsi="Times New Roman" w:cs="Times New Roman"/>
          <w:b/>
          <w:sz w:val="24"/>
          <w:szCs w:val="24"/>
        </w:rPr>
        <w:t xml:space="preserve">Tables </w:t>
      </w:r>
    </w:p>
    <w:p w14:paraId="044FEAFE" w14:textId="77777777" w:rsidR="006E4B3A" w:rsidRPr="00A03CB5" w:rsidRDefault="006E4B3A">
      <w:pPr>
        <w:spacing w:line="240" w:lineRule="auto"/>
        <w:ind w:left="720"/>
        <w:jc w:val="center"/>
        <w:rPr>
          <w:rFonts w:ascii="Times New Roman" w:eastAsia="Times New Roman" w:hAnsi="Times New Roman" w:cs="Times New Roman"/>
          <w:b/>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E4B3A" w:rsidRPr="00A03CB5" w14:paraId="793BBA7F" w14:textId="77777777">
        <w:tc>
          <w:tcPr>
            <w:tcW w:w="46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08F6C9F3" w14:textId="77777777" w:rsidR="006E4B3A" w:rsidRPr="00A03CB5" w:rsidRDefault="00000000">
            <w:pPr>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Table 1. Inclusion and Exclusion Criteria</w:t>
            </w:r>
          </w:p>
        </w:tc>
        <w:tc>
          <w:tcPr>
            <w:tcW w:w="46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7EAE212D" w14:textId="77777777" w:rsidR="006E4B3A" w:rsidRPr="00A03CB5" w:rsidRDefault="006E4B3A">
            <w:pPr>
              <w:widowControl w:val="0"/>
              <w:spacing w:line="240" w:lineRule="auto"/>
              <w:jc w:val="both"/>
              <w:rPr>
                <w:rFonts w:ascii="Times New Roman" w:hAnsi="Times New Roman" w:cs="Times New Roman"/>
                <w:b/>
                <w:sz w:val="24"/>
                <w:szCs w:val="24"/>
                <w:highlight w:val="white"/>
              </w:rPr>
            </w:pPr>
          </w:p>
        </w:tc>
      </w:tr>
      <w:tr w:rsidR="006E4B3A" w:rsidRPr="00A03CB5" w14:paraId="5031F447" w14:textId="77777777">
        <w:tc>
          <w:tcPr>
            <w:tcW w:w="46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036EA3C9"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Inclusion Criteria (All Groups)</w:t>
            </w:r>
          </w:p>
        </w:tc>
        <w:tc>
          <w:tcPr>
            <w:tcW w:w="46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468DFD0F"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Exclusion Criteria (All Groups)</w:t>
            </w:r>
          </w:p>
        </w:tc>
      </w:tr>
      <w:tr w:rsidR="006E4B3A" w:rsidRPr="00A03CB5" w14:paraId="210505E9" w14:textId="77777777">
        <w:tc>
          <w:tcPr>
            <w:tcW w:w="4680" w:type="dxa"/>
            <w:tcBorders>
              <w:top w:val="single" w:sz="8" w:space="0" w:color="999999"/>
            </w:tcBorders>
            <w:shd w:val="clear" w:color="auto" w:fill="auto"/>
            <w:tcMar>
              <w:top w:w="100" w:type="dxa"/>
              <w:left w:w="100" w:type="dxa"/>
              <w:bottom w:w="100" w:type="dxa"/>
              <w:right w:w="100" w:type="dxa"/>
            </w:tcMar>
          </w:tcPr>
          <w:p w14:paraId="27751ABE" w14:textId="77777777" w:rsidR="006E4B3A" w:rsidRPr="00A03CB5" w:rsidRDefault="00000000">
            <w:pPr>
              <w:numPr>
                <w:ilvl w:val="0"/>
                <w:numId w:val="7"/>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 xml:space="preserve">Ability to read and speak English </w:t>
            </w:r>
          </w:p>
          <w:p w14:paraId="528FA16C" w14:textId="77777777" w:rsidR="006E4B3A" w:rsidRPr="00A03CB5" w:rsidRDefault="00000000">
            <w:pPr>
              <w:numPr>
                <w:ilvl w:val="0"/>
                <w:numId w:val="7"/>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Reside in the U.S.</w:t>
            </w:r>
          </w:p>
          <w:p w14:paraId="6B308120" w14:textId="77777777" w:rsidR="006E4B3A" w:rsidRPr="00A03CB5" w:rsidRDefault="00000000">
            <w:pPr>
              <w:numPr>
                <w:ilvl w:val="0"/>
                <w:numId w:val="7"/>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Age between 18 and 25</w:t>
            </w:r>
          </w:p>
        </w:tc>
        <w:tc>
          <w:tcPr>
            <w:tcW w:w="4680" w:type="dxa"/>
            <w:tcBorders>
              <w:top w:val="single" w:sz="8" w:space="0" w:color="999999"/>
            </w:tcBorders>
            <w:shd w:val="clear" w:color="auto" w:fill="auto"/>
            <w:tcMar>
              <w:top w:w="100" w:type="dxa"/>
              <w:left w:w="100" w:type="dxa"/>
              <w:bottom w:w="100" w:type="dxa"/>
              <w:right w:w="100" w:type="dxa"/>
            </w:tcMar>
          </w:tcPr>
          <w:p w14:paraId="3ED6A11C" w14:textId="77777777" w:rsidR="006E4B3A" w:rsidRPr="00A03CB5" w:rsidRDefault="00000000">
            <w:pPr>
              <w:numPr>
                <w:ilvl w:val="0"/>
                <w:numId w:val="4"/>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Underweight BMI (&lt;18.5 kg/m</w:t>
            </w:r>
            <w:r w:rsidRPr="00A03CB5">
              <w:rPr>
                <w:rFonts w:ascii="Times New Roman" w:hAnsi="Times New Roman" w:cs="Times New Roman"/>
                <w:sz w:val="24"/>
                <w:szCs w:val="24"/>
                <w:highlight w:val="white"/>
                <w:vertAlign w:val="superscript"/>
              </w:rPr>
              <w:t>2</w:t>
            </w:r>
            <w:r w:rsidRPr="00A03CB5">
              <w:rPr>
                <w:rFonts w:ascii="Times New Roman" w:hAnsi="Times New Roman" w:cs="Times New Roman"/>
                <w:sz w:val="24"/>
                <w:szCs w:val="24"/>
                <w:highlight w:val="white"/>
              </w:rPr>
              <w:t xml:space="preserve">) or diagnosis of anorexia nervosa </w:t>
            </w:r>
          </w:p>
          <w:p w14:paraId="4AEF8C02" w14:textId="77777777" w:rsidR="006E4B3A" w:rsidRPr="00A03CB5" w:rsidRDefault="00000000">
            <w:pPr>
              <w:numPr>
                <w:ilvl w:val="0"/>
                <w:numId w:val="4"/>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 xml:space="preserve">Intellectual disability or severe cognitive impairment </w:t>
            </w:r>
          </w:p>
          <w:p w14:paraId="62DB0496" w14:textId="77777777" w:rsidR="006E4B3A" w:rsidRPr="00A03CB5" w:rsidRDefault="00000000">
            <w:pPr>
              <w:numPr>
                <w:ilvl w:val="0"/>
                <w:numId w:val="4"/>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 xml:space="preserve">Currently pregnant or breastfeeding </w:t>
            </w:r>
          </w:p>
          <w:p w14:paraId="074BE2DC" w14:textId="77777777" w:rsidR="006E4B3A" w:rsidRPr="00A03CB5" w:rsidRDefault="00000000">
            <w:pPr>
              <w:numPr>
                <w:ilvl w:val="0"/>
                <w:numId w:val="4"/>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Current inpatient or partial hospitalization</w:t>
            </w:r>
          </w:p>
          <w:p w14:paraId="054AC8C6" w14:textId="77777777" w:rsidR="006E4B3A" w:rsidRPr="00A03CB5" w:rsidRDefault="00000000">
            <w:pPr>
              <w:numPr>
                <w:ilvl w:val="0"/>
                <w:numId w:val="4"/>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History of bariatric surgery</w:t>
            </w:r>
          </w:p>
        </w:tc>
      </w:tr>
      <w:tr w:rsidR="006E4B3A" w:rsidRPr="00A03CB5" w14:paraId="21D15C94" w14:textId="77777777">
        <w:tc>
          <w:tcPr>
            <w:tcW w:w="4680" w:type="dxa"/>
            <w:shd w:val="clear" w:color="auto" w:fill="FFFFFF"/>
            <w:tcMar>
              <w:top w:w="100" w:type="dxa"/>
              <w:left w:w="100" w:type="dxa"/>
              <w:bottom w:w="100" w:type="dxa"/>
              <w:right w:w="100" w:type="dxa"/>
            </w:tcMar>
          </w:tcPr>
          <w:p w14:paraId="58C0750A"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 xml:space="preserve">Additional Inclusion Criteria: Lower Risk Group </w:t>
            </w:r>
          </w:p>
        </w:tc>
        <w:tc>
          <w:tcPr>
            <w:tcW w:w="4680" w:type="dxa"/>
            <w:shd w:val="clear" w:color="auto" w:fill="FFFFFF"/>
            <w:tcMar>
              <w:top w:w="100" w:type="dxa"/>
              <w:left w:w="100" w:type="dxa"/>
              <w:bottom w:w="100" w:type="dxa"/>
              <w:right w:w="100" w:type="dxa"/>
            </w:tcMar>
          </w:tcPr>
          <w:p w14:paraId="6A56DFB7"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Additional Exclusion Criteria: Lower Risk Group</w:t>
            </w:r>
          </w:p>
        </w:tc>
      </w:tr>
      <w:tr w:rsidR="006E4B3A" w:rsidRPr="00A03CB5" w14:paraId="5B78185E" w14:textId="77777777">
        <w:tc>
          <w:tcPr>
            <w:tcW w:w="4680" w:type="dxa"/>
            <w:shd w:val="clear" w:color="auto" w:fill="auto"/>
            <w:tcMar>
              <w:top w:w="100" w:type="dxa"/>
              <w:left w:w="100" w:type="dxa"/>
              <w:bottom w:w="100" w:type="dxa"/>
              <w:right w:w="100" w:type="dxa"/>
            </w:tcMar>
          </w:tcPr>
          <w:p w14:paraId="77D95F39" w14:textId="77777777" w:rsidR="006E4B3A" w:rsidRPr="00A03CB5" w:rsidRDefault="00000000">
            <w:pPr>
              <w:widowControl w:val="0"/>
              <w:numPr>
                <w:ilvl w:val="0"/>
                <w:numId w:val="1"/>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EDE-Q8 score &lt;3 (women, transgender men/women, or non-binary) or &lt;2 (men)</w:t>
            </w:r>
          </w:p>
          <w:p w14:paraId="6926F628"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AND</w:t>
            </w:r>
          </w:p>
          <w:p w14:paraId="16BE3E51" w14:textId="77777777" w:rsidR="006E4B3A" w:rsidRPr="00A03CB5" w:rsidRDefault="00000000">
            <w:pPr>
              <w:widowControl w:val="0"/>
              <w:numPr>
                <w:ilvl w:val="0"/>
                <w:numId w:val="1"/>
              </w:numPr>
              <w:spacing w:line="240" w:lineRule="auto"/>
              <w:jc w:val="both"/>
              <w:rPr>
                <w:rFonts w:ascii="Times New Roman" w:hAnsi="Times New Roman" w:cs="Times New Roman"/>
                <w:sz w:val="24"/>
                <w:szCs w:val="24"/>
                <w:highlight w:val="white"/>
              </w:rPr>
            </w:pPr>
            <w:proofErr w:type="spellStart"/>
            <w:r w:rsidRPr="00A03CB5">
              <w:rPr>
                <w:rFonts w:ascii="Times New Roman" w:hAnsi="Times New Roman" w:cs="Times New Roman"/>
                <w:sz w:val="24"/>
                <w:szCs w:val="24"/>
                <w:highlight w:val="white"/>
              </w:rPr>
              <w:t>mYFAS</w:t>
            </w:r>
            <w:proofErr w:type="spellEnd"/>
            <w:r w:rsidRPr="00A03CB5">
              <w:rPr>
                <w:rFonts w:ascii="Times New Roman" w:hAnsi="Times New Roman" w:cs="Times New Roman"/>
                <w:sz w:val="24"/>
                <w:szCs w:val="24"/>
                <w:highlight w:val="white"/>
              </w:rPr>
              <w:t xml:space="preserve"> symptom count &lt;3</w:t>
            </w:r>
          </w:p>
        </w:tc>
        <w:tc>
          <w:tcPr>
            <w:tcW w:w="4680" w:type="dxa"/>
            <w:shd w:val="clear" w:color="auto" w:fill="auto"/>
            <w:tcMar>
              <w:top w:w="100" w:type="dxa"/>
              <w:left w:w="100" w:type="dxa"/>
              <w:bottom w:w="100" w:type="dxa"/>
              <w:right w:w="100" w:type="dxa"/>
            </w:tcMar>
          </w:tcPr>
          <w:p w14:paraId="1B695E7A" w14:textId="77777777" w:rsidR="006E4B3A" w:rsidRPr="00A03CB5" w:rsidRDefault="00000000">
            <w:pPr>
              <w:widowControl w:val="0"/>
              <w:numPr>
                <w:ilvl w:val="0"/>
                <w:numId w:val="5"/>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 xml:space="preserve">FA diagnosis </w:t>
            </w:r>
          </w:p>
          <w:p w14:paraId="345A38E0" w14:textId="77777777" w:rsidR="006E4B3A" w:rsidRPr="00A03CB5" w:rsidRDefault="00000000">
            <w:pPr>
              <w:widowControl w:val="0"/>
              <w:numPr>
                <w:ilvl w:val="0"/>
                <w:numId w:val="5"/>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Probable threshold or subthreshold eating disorder diagnosis (current)</w:t>
            </w:r>
          </w:p>
          <w:p w14:paraId="0444B8F4" w14:textId="77777777" w:rsidR="006E4B3A" w:rsidRPr="00A03CB5" w:rsidRDefault="00000000">
            <w:pPr>
              <w:numPr>
                <w:ilvl w:val="0"/>
                <w:numId w:val="5"/>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Lifetime eating disorder diagnosis</w:t>
            </w:r>
          </w:p>
        </w:tc>
      </w:tr>
      <w:tr w:rsidR="006E4B3A" w:rsidRPr="00A03CB5" w14:paraId="654F8E0C" w14:textId="77777777">
        <w:tc>
          <w:tcPr>
            <w:tcW w:w="4680" w:type="dxa"/>
            <w:shd w:val="clear" w:color="auto" w:fill="FFFFFF"/>
            <w:tcMar>
              <w:top w:w="100" w:type="dxa"/>
              <w:left w:w="100" w:type="dxa"/>
              <w:bottom w:w="100" w:type="dxa"/>
              <w:right w:w="100" w:type="dxa"/>
            </w:tcMar>
          </w:tcPr>
          <w:p w14:paraId="294BC30A"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Additional Inclusion Criteria: Higher Risk Group</w:t>
            </w:r>
          </w:p>
        </w:tc>
        <w:tc>
          <w:tcPr>
            <w:tcW w:w="4680" w:type="dxa"/>
            <w:shd w:val="clear" w:color="auto" w:fill="FFFFFF"/>
            <w:tcMar>
              <w:top w:w="100" w:type="dxa"/>
              <w:left w:w="100" w:type="dxa"/>
              <w:bottom w:w="100" w:type="dxa"/>
              <w:right w:w="100" w:type="dxa"/>
            </w:tcMar>
          </w:tcPr>
          <w:p w14:paraId="5A8617E5"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Additional Exclusion Criteria: Higher Risk Group</w:t>
            </w:r>
          </w:p>
        </w:tc>
      </w:tr>
      <w:tr w:rsidR="006E4B3A" w:rsidRPr="00A03CB5" w14:paraId="15B10FDA" w14:textId="77777777">
        <w:tc>
          <w:tcPr>
            <w:tcW w:w="4680" w:type="dxa"/>
            <w:shd w:val="clear" w:color="auto" w:fill="auto"/>
            <w:tcMar>
              <w:top w:w="100" w:type="dxa"/>
              <w:left w:w="100" w:type="dxa"/>
              <w:bottom w:w="100" w:type="dxa"/>
              <w:right w:w="100" w:type="dxa"/>
            </w:tcMar>
          </w:tcPr>
          <w:p w14:paraId="380944BE" w14:textId="77777777" w:rsidR="006E4B3A" w:rsidRPr="00A03CB5" w:rsidRDefault="00000000">
            <w:pPr>
              <w:widowControl w:val="0"/>
              <w:numPr>
                <w:ilvl w:val="0"/>
                <w:numId w:val="3"/>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 xml:space="preserve">Probable diagnosis of </w:t>
            </w:r>
            <w:r w:rsidRPr="00A03CB5">
              <w:rPr>
                <w:rFonts w:ascii="Times New Roman" w:hAnsi="Times New Roman" w:cs="Times New Roman"/>
                <w:sz w:val="24"/>
                <w:szCs w:val="24"/>
                <w:highlight w:val="white"/>
                <w:u w:val="single"/>
              </w:rPr>
              <w:t>subthreshold</w:t>
            </w:r>
            <w:r w:rsidRPr="00A03CB5">
              <w:rPr>
                <w:rFonts w:ascii="Times New Roman" w:hAnsi="Times New Roman" w:cs="Times New Roman"/>
                <w:sz w:val="24"/>
                <w:szCs w:val="24"/>
                <w:highlight w:val="white"/>
              </w:rPr>
              <w:t xml:space="preserve"> bulimia nervosa or subthreshold binge-eating disorder </w:t>
            </w:r>
          </w:p>
          <w:p w14:paraId="569EF374"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OR</w:t>
            </w:r>
          </w:p>
          <w:p w14:paraId="2AEE9F74" w14:textId="77777777" w:rsidR="006E4B3A" w:rsidRPr="00A03CB5" w:rsidRDefault="00000000">
            <w:pPr>
              <w:widowControl w:val="0"/>
              <w:numPr>
                <w:ilvl w:val="0"/>
                <w:numId w:val="2"/>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EDE-Q8 score &gt;=3 (women, transgender men/women, or non-binary) or &gt;=2 (men)</w:t>
            </w:r>
          </w:p>
          <w:p w14:paraId="1F67F7B7" w14:textId="77777777" w:rsidR="006E4B3A" w:rsidRPr="00A03CB5" w:rsidRDefault="006E4B3A">
            <w:pPr>
              <w:widowControl w:val="0"/>
              <w:spacing w:line="240" w:lineRule="auto"/>
              <w:ind w:left="720"/>
              <w:jc w:val="both"/>
              <w:rPr>
                <w:rFonts w:ascii="Times New Roman" w:hAnsi="Times New Roman" w:cs="Times New Roman"/>
                <w:sz w:val="24"/>
                <w:szCs w:val="24"/>
                <w:highlight w:val="white"/>
              </w:rPr>
            </w:pPr>
          </w:p>
          <w:p w14:paraId="7296E166"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lastRenderedPageBreak/>
              <w:t xml:space="preserve">OR </w:t>
            </w:r>
          </w:p>
          <w:p w14:paraId="2151EF8E" w14:textId="77777777" w:rsidR="006E4B3A" w:rsidRPr="00A03CB5" w:rsidRDefault="00000000">
            <w:pPr>
              <w:numPr>
                <w:ilvl w:val="0"/>
                <w:numId w:val="2"/>
              </w:numPr>
              <w:spacing w:line="240" w:lineRule="auto"/>
              <w:jc w:val="both"/>
              <w:rPr>
                <w:rFonts w:ascii="Times New Roman" w:hAnsi="Times New Roman" w:cs="Times New Roman"/>
                <w:sz w:val="24"/>
                <w:szCs w:val="24"/>
                <w:highlight w:val="white"/>
              </w:rPr>
            </w:pPr>
            <w:proofErr w:type="spellStart"/>
            <w:r w:rsidRPr="00A03CB5">
              <w:rPr>
                <w:rFonts w:ascii="Times New Roman" w:hAnsi="Times New Roman" w:cs="Times New Roman"/>
                <w:sz w:val="24"/>
                <w:szCs w:val="24"/>
                <w:highlight w:val="white"/>
              </w:rPr>
              <w:t>mYFAS</w:t>
            </w:r>
            <w:proofErr w:type="spellEnd"/>
            <w:r w:rsidRPr="00A03CB5">
              <w:rPr>
                <w:rFonts w:ascii="Times New Roman" w:hAnsi="Times New Roman" w:cs="Times New Roman"/>
                <w:sz w:val="24"/>
                <w:szCs w:val="24"/>
                <w:highlight w:val="white"/>
              </w:rPr>
              <w:t xml:space="preserve"> symptom count &gt;= 3</w:t>
            </w:r>
          </w:p>
        </w:tc>
        <w:tc>
          <w:tcPr>
            <w:tcW w:w="4680" w:type="dxa"/>
            <w:shd w:val="clear" w:color="auto" w:fill="auto"/>
            <w:tcMar>
              <w:top w:w="100" w:type="dxa"/>
              <w:left w:w="100" w:type="dxa"/>
              <w:bottom w:w="100" w:type="dxa"/>
              <w:right w:w="100" w:type="dxa"/>
            </w:tcMar>
          </w:tcPr>
          <w:p w14:paraId="5F5FEAD5" w14:textId="77777777" w:rsidR="006E4B3A" w:rsidRPr="00A03CB5" w:rsidRDefault="00000000">
            <w:pPr>
              <w:widowControl w:val="0"/>
              <w:numPr>
                <w:ilvl w:val="0"/>
                <w:numId w:val="8"/>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lastRenderedPageBreak/>
              <w:t xml:space="preserve">Probable eating disorder diagnosis </w:t>
            </w:r>
            <w:r w:rsidRPr="00A03CB5">
              <w:rPr>
                <w:rFonts w:ascii="Times New Roman" w:hAnsi="Times New Roman" w:cs="Times New Roman"/>
                <w:sz w:val="24"/>
                <w:szCs w:val="24"/>
                <w:highlight w:val="white"/>
                <w:u w:val="single"/>
              </w:rPr>
              <w:t>other</w:t>
            </w:r>
            <w:r w:rsidRPr="00A03CB5">
              <w:rPr>
                <w:rFonts w:ascii="Times New Roman" w:hAnsi="Times New Roman" w:cs="Times New Roman"/>
                <w:sz w:val="24"/>
                <w:szCs w:val="24"/>
                <w:highlight w:val="white"/>
              </w:rPr>
              <w:t xml:space="preserve"> than subthreshold bulimia nervosa or subthreshold binge-eating disorder (e.g., threshold bulimia nervosa/binge-eating disorder, atypical anorexia, purging disorder, night eating syndrome)</w:t>
            </w:r>
          </w:p>
          <w:p w14:paraId="7DC0DBD2" w14:textId="77777777" w:rsidR="006E4B3A" w:rsidRPr="00A03CB5" w:rsidRDefault="00000000">
            <w:pPr>
              <w:widowControl w:val="0"/>
              <w:numPr>
                <w:ilvl w:val="0"/>
                <w:numId w:val="8"/>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FA diagnosis</w:t>
            </w:r>
          </w:p>
          <w:p w14:paraId="6ABDFD73" w14:textId="77777777" w:rsidR="006E4B3A" w:rsidRPr="00A03CB5" w:rsidRDefault="006E4B3A">
            <w:pPr>
              <w:widowControl w:val="0"/>
              <w:spacing w:line="240" w:lineRule="auto"/>
              <w:ind w:left="720"/>
              <w:jc w:val="both"/>
              <w:rPr>
                <w:rFonts w:ascii="Times New Roman" w:hAnsi="Times New Roman" w:cs="Times New Roman"/>
                <w:sz w:val="24"/>
                <w:szCs w:val="24"/>
                <w:highlight w:val="white"/>
              </w:rPr>
            </w:pPr>
          </w:p>
        </w:tc>
      </w:tr>
      <w:tr w:rsidR="006E4B3A" w:rsidRPr="00A03CB5" w14:paraId="4457B353" w14:textId="77777777">
        <w:tc>
          <w:tcPr>
            <w:tcW w:w="4680" w:type="dxa"/>
            <w:shd w:val="clear" w:color="auto" w:fill="FFFFFF"/>
            <w:tcMar>
              <w:top w:w="100" w:type="dxa"/>
              <w:left w:w="100" w:type="dxa"/>
              <w:bottom w:w="100" w:type="dxa"/>
              <w:right w:w="100" w:type="dxa"/>
            </w:tcMar>
          </w:tcPr>
          <w:p w14:paraId="44B9E753"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lastRenderedPageBreak/>
              <w:t>Additional Inclusion Criteria: Diagnostic Group</w:t>
            </w:r>
          </w:p>
        </w:tc>
        <w:tc>
          <w:tcPr>
            <w:tcW w:w="4680" w:type="dxa"/>
            <w:shd w:val="clear" w:color="auto" w:fill="FFFFFF"/>
            <w:tcMar>
              <w:top w:w="100" w:type="dxa"/>
              <w:left w:w="100" w:type="dxa"/>
              <w:bottom w:w="100" w:type="dxa"/>
              <w:right w:w="100" w:type="dxa"/>
            </w:tcMar>
          </w:tcPr>
          <w:p w14:paraId="2AEC3FC8"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Additional Exclusion Criteria: Diagnostic Group</w:t>
            </w:r>
          </w:p>
        </w:tc>
      </w:tr>
      <w:tr w:rsidR="006E4B3A" w:rsidRPr="00A03CB5" w14:paraId="7394AB4A" w14:textId="77777777">
        <w:tc>
          <w:tcPr>
            <w:tcW w:w="4680" w:type="dxa"/>
            <w:shd w:val="clear" w:color="auto" w:fill="auto"/>
            <w:tcMar>
              <w:top w:w="100" w:type="dxa"/>
              <w:left w:w="100" w:type="dxa"/>
              <w:bottom w:w="100" w:type="dxa"/>
              <w:right w:w="100" w:type="dxa"/>
            </w:tcMar>
          </w:tcPr>
          <w:p w14:paraId="73873E8E" w14:textId="77777777" w:rsidR="006E4B3A" w:rsidRPr="00A03CB5" w:rsidRDefault="00000000">
            <w:pPr>
              <w:widowControl w:val="0"/>
              <w:numPr>
                <w:ilvl w:val="0"/>
                <w:numId w:val="2"/>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 xml:space="preserve">Probable diagnosis of bulimia nervosa or binge-eating disorder </w:t>
            </w:r>
          </w:p>
          <w:p w14:paraId="2677D1C3" w14:textId="77777777" w:rsidR="006E4B3A" w:rsidRPr="00A03CB5" w:rsidRDefault="00000000">
            <w:pPr>
              <w:widowControl w:val="0"/>
              <w:spacing w:line="240" w:lineRule="auto"/>
              <w:jc w:val="both"/>
              <w:rPr>
                <w:rFonts w:ascii="Times New Roman" w:hAnsi="Times New Roman" w:cs="Times New Roman"/>
                <w:b/>
                <w:sz w:val="24"/>
                <w:szCs w:val="24"/>
                <w:highlight w:val="white"/>
              </w:rPr>
            </w:pPr>
            <w:r w:rsidRPr="00A03CB5">
              <w:rPr>
                <w:rFonts w:ascii="Times New Roman" w:hAnsi="Times New Roman" w:cs="Times New Roman"/>
                <w:b/>
                <w:sz w:val="24"/>
                <w:szCs w:val="24"/>
                <w:highlight w:val="white"/>
              </w:rPr>
              <w:t>OR</w:t>
            </w:r>
          </w:p>
          <w:p w14:paraId="5DB6E933" w14:textId="77777777" w:rsidR="006E4B3A" w:rsidRPr="00A03CB5" w:rsidRDefault="00000000">
            <w:pPr>
              <w:widowControl w:val="0"/>
              <w:numPr>
                <w:ilvl w:val="0"/>
                <w:numId w:val="2"/>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FA diagnosis</w:t>
            </w:r>
          </w:p>
        </w:tc>
        <w:tc>
          <w:tcPr>
            <w:tcW w:w="4680" w:type="dxa"/>
            <w:shd w:val="clear" w:color="auto" w:fill="auto"/>
            <w:tcMar>
              <w:top w:w="100" w:type="dxa"/>
              <w:left w:w="100" w:type="dxa"/>
              <w:bottom w:w="100" w:type="dxa"/>
              <w:right w:w="100" w:type="dxa"/>
            </w:tcMar>
          </w:tcPr>
          <w:p w14:paraId="4D1D2EAE" w14:textId="77777777" w:rsidR="006E4B3A" w:rsidRPr="00A03CB5" w:rsidRDefault="00000000">
            <w:pPr>
              <w:widowControl w:val="0"/>
              <w:numPr>
                <w:ilvl w:val="0"/>
                <w:numId w:val="8"/>
              </w:numPr>
              <w:spacing w:line="240" w:lineRule="auto"/>
              <w:jc w:val="both"/>
              <w:rPr>
                <w:rFonts w:ascii="Times New Roman" w:hAnsi="Times New Roman" w:cs="Times New Roman"/>
                <w:sz w:val="24"/>
                <w:szCs w:val="24"/>
                <w:highlight w:val="white"/>
              </w:rPr>
            </w:pPr>
            <w:r w:rsidRPr="00A03CB5">
              <w:rPr>
                <w:rFonts w:ascii="Times New Roman" w:hAnsi="Times New Roman" w:cs="Times New Roman"/>
                <w:sz w:val="24"/>
                <w:szCs w:val="24"/>
                <w:highlight w:val="white"/>
              </w:rPr>
              <w:t xml:space="preserve">Probable eating disorder diagnosis </w:t>
            </w:r>
            <w:r w:rsidRPr="00A03CB5">
              <w:rPr>
                <w:rFonts w:ascii="Times New Roman" w:hAnsi="Times New Roman" w:cs="Times New Roman"/>
                <w:sz w:val="24"/>
                <w:szCs w:val="24"/>
                <w:highlight w:val="white"/>
                <w:u w:val="single"/>
              </w:rPr>
              <w:t>other</w:t>
            </w:r>
            <w:r w:rsidRPr="00A03CB5">
              <w:rPr>
                <w:rFonts w:ascii="Times New Roman" w:hAnsi="Times New Roman" w:cs="Times New Roman"/>
                <w:sz w:val="24"/>
                <w:szCs w:val="24"/>
                <w:highlight w:val="white"/>
              </w:rPr>
              <w:t xml:space="preserve"> than bulimia nervosa or binge-eating disorder </w:t>
            </w:r>
          </w:p>
        </w:tc>
      </w:tr>
    </w:tbl>
    <w:p w14:paraId="297C2D2C" w14:textId="77777777" w:rsidR="006E4B3A" w:rsidRPr="00A03CB5" w:rsidRDefault="006E4B3A">
      <w:pPr>
        <w:spacing w:line="240" w:lineRule="auto"/>
        <w:ind w:firstLine="720"/>
        <w:jc w:val="both"/>
        <w:rPr>
          <w:rFonts w:ascii="Times New Roman" w:hAnsi="Times New Roman" w:cs="Times New Roman"/>
          <w:sz w:val="24"/>
          <w:szCs w:val="24"/>
        </w:rPr>
      </w:pPr>
    </w:p>
    <w:p w14:paraId="1BDDAB0E" w14:textId="77777777" w:rsidR="006E4B3A" w:rsidRPr="00A03CB5" w:rsidRDefault="006E4B3A">
      <w:pPr>
        <w:spacing w:line="240" w:lineRule="auto"/>
        <w:ind w:firstLine="720"/>
        <w:jc w:val="both"/>
        <w:rPr>
          <w:rFonts w:ascii="Times New Roman" w:hAnsi="Times New Roman" w:cs="Times New Roman"/>
          <w:sz w:val="24"/>
          <w:szCs w:val="24"/>
        </w:rPr>
      </w:pPr>
    </w:p>
    <w:p w14:paraId="21F80929" w14:textId="77777777" w:rsidR="006E4B3A" w:rsidRPr="00A03CB5" w:rsidRDefault="006E4B3A">
      <w:pPr>
        <w:spacing w:line="240" w:lineRule="auto"/>
        <w:ind w:firstLine="720"/>
        <w:jc w:val="both"/>
        <w:rPr>
          <w:rFonts w:ascii="Times New Roman" w:hAnsi="Times New Roman" w:cs="Times New Roman"/>
          <w:sz w:val="24"/>
          <w:szCs w:val="24"/>
        </w:rPr>
      </w:pPr>
    </w:p>
    <w:p w14:paraId="438431E7" w14:textId="77777777" w:rsidR="006E4B3A" w:rsidRPr="00A03CB5" w:rsidRDefault="006E4B3A">
      <w:pPr>
        <w:spacing w:line="240" w:lineRule="auto"/>
        <w:ind w:firstLine="720"/>
        <w:jc w:val="both"/>
        <w:rPr>
          <w:rFonts w:ascii="Times New Roman" w:hAnsi="Times New Roman" w:cs="Times New Roman"/>
          <w:sz w:val="24"/>
          <w:szCs w:val="24"/>
        </w:rPr>
      </w:pPr>
    </w:p>
    <w:p w14:paraId="417B33C0" w14:textId="77777777" w:rsidR="006E4B3A" w:rsidRPr="00A03CB5" w:rsidRDefault="006E4B3A">
      <w:pPr>
        <w:spacing w:line="240" w:lineRule="auto"/>
        <w:ind w:firstLine="720"/>
        <w:jc w:val="both"/>
        <w:rPr>
          <w:rFonts w:ascii="Times New Roman" w:hAnsi="Times New Roman" w:cs="Times New Roman"/>
          <w:sz w:val="24"/>
          <w:szCs w:val="24"/>
        </w:rPr>
      </w:pPr>
    </w:p>
    <w:p w14:paraId="2E7D1582" w14:textId="77777777" w:rsidR="006E4B3A" w:rsidRPr="00A03CB5" w:rsidRDefault="006E4B3A">
      <w:pPr>
        <w:spacing w:line="240" w:lineRule="auto"/>
        <w:ind w:firstLine="720"/>
        <w:jc w:val="both"/>
        <w:rPr>
          <w:rFonts w:ascii="Times New Roman" w:hAnsi="Times New Roman" w:cs="Times New Roman"/>
          <w:sz w:val="24"/>
          <w:szCs w:val="24"/>
        </w:rPr>
      </w:pPr>
    </w:p>
    <w:p w14:paraId="0FAEDE04" w14:textId="77777777" w:rsidR="006E4B3A" w:rsidRPr="00A03CB5" w:rsidRDefault="006E4B3A">
      <w:pPr>
        <w:spacing w:line="240" w:lineRule="auto"/>
        <w:ind w:firstLine="720"/>
        <w:jc w:val="both"/>
        <w:rPr>
          <w:rFonts w:ascii="Times New Roman" w:hAnsi="Times New Roman" w:cs="Times New Roman"/>
          <w:sz w:val="24"/>
          <w:szCs w:val="24"/>
        </w:rPr>
      </w:pPr>
    </w:p>
    <w:p w14:paraId="4288055D" w14:textId="77777777" w:rsidR="006E4B3A" w:rsidRPr="00A03CB5" w:rsidRDefault="006E4B3A">
      <w:pPr>
        <w:spacing w:line="240" w:lineRule="auto"/>
        <w:ind w:firstLine="720"/>
        <w:jc w:val="both"/>
        <w:rPr>
          <w:rFonts w:ascii="Times New Roman" w:hAnsi="Times New Roman" w:cs="Times New Roman"/>
          <w:sz w:val="24"/>
          <w:szCs w:val="24"/>
        </w:rPr>
      </w:pPr>
    </w:p>
    <w:p w14:paraId="77428651" w14:textId="77777777" w:rsidR="006E4B3A" w:rsidRPr="00A03CB5" w:rsidRDefault="006E4B3A">
      <w:pPr>
        <w:spacing w:line="240" w:lineRule="auto"/>
        <w:ind w:firstLine="720"/>
        <w:jc w:val="both"/>
        <w:rPr>
          <w:rFonts w:ascii="Times New Roman" w:hAnsi="Times New Roman" w:cs="Times New Roman"/>
          <w:sz w:val="24"/>
          <w:szCs w:val="24"/>
        </w:rPr>
      </w:pPr>
    </w:p>
    <w:p w14:paraId="4E27C0D8" w14:textId="77777777" w:rsidR="006E4B3A" w:rsidRPr="00A03CB5" w:rsidRDefault="006E4B3A">
      <w:pPr>
        <w:spacing w:line="240" w:lineRule="auto"/>
        <w:ind w:firstLine="720"/>
        <w:jc w:val="both"/>
        <w:rPr>
          <w:rFonts w:ascii="Times New Roman" w:hAnsi="Times New Roman" w:cs="Times New Roman"/>
          <w:sz w:val="24"/>
          <w:szCs w:val="24"/>
        </w:rPr>
      </w:pPr>
    </w:p>
    <w:p w14:paraId="661DFC34" w14:textId="77777777" w:rsidR="006E4B3A" w:rsidRPr="00A03CB5" w:rsidRDefault="006E4B3A">
      <w:pPr>
        <w:spacing w:line="240" w:lineRule="auto"/>
        <w:ind w:firstLine="720"/>
        <w:jc w:val="both"/>
        <w:rPr>
          <w:rFonts w:ascii="Times New Roman" w:hAnsi="Times New Roman" w:cs="Times New Roman"/>
          <w:sz w:val="24"/>
          <w:szCs w:val="24"/>
        </w:rPr>
      </w:pPr>
    </w:p>
    <w:p w14:paraId="276139A6" w14:textId="77777777" w:rsidR="006E4B3A" w:rsidRPr="00A03CB5" w:rsidRDefault="006E4B3A">
      <w:pPr>
        <w:spacing w:line="240" w:lineRule="auto"/>
        <w:ind w:firstLine="720"/>
        <w:jc w:val="both"/>
        <w:rPr>
          <w:rFonts w:ascii="Times New Roman" w:hAnsi="Times New Roman" w:cs="Times New Roman"/>
          <w:sz w:val="24"/>
          <w:szCs w:val="24"/>
        </w:rPr>
      </w:pPr>
    </w:p>
    <w:p w14:paraId="57ED5837" w14:textId="77777777" w:rsidR="006E4B3A" w:rsidRPr="00A03CB5" w:rsidRDefault="006E4B3A">
      <w:pPr>
        <w:spacing w:line="240" w:lineRule="auto"/>
        <w:ind w:firstLine="720"/>
        <w:jc w:val="both"/>
        <w:rPr>
          <w:rFonts w:ascii="Times New Roman" w:hAnsi="Times New Roman" w:cs="Times New Roman"/>
          <w:sz w:val="24"/>
          <w:szCs w:val="24"/>
        </w:rPr>
      </w:pPr>
    </w:p>
    <w:p w14:paraId="475E17B0" w14:textId="77777777" w:rsidR="006E4B3A" w:rsidRPr="00A03CB5" w:rsidRDefault="006E4B3A">
      <w:pPr>
        <w:spacing w:line="240" w:lineRule="auto"/>
        <w:ind w:firstLine="720"/>
        <w:jc w:val="both"/>
        <w:rPr>
          <w:rFonts w:ascii="Times New Roman" w:hAnsi="Times New Roman" w:cs="Times New Roman"/>
          <w:sz w:val="24"/>
          <w:szCs w:val="24"/>
        </w:rPr>
      </w:pPr>
    </w:p>
    <w:p w14:paraId="7FBF8F61" w14:textId="77777777" w:rsidR="006E4B3A" w:rsidRPr="00A03CB5" w:rsidRDefault="006E4B3A">
      <w:pPr>
        <w:spacing w:line="240" w:lineRule="auto"/>
        <w:jc w:val="both"/>
        <w:rPr>
          <w:rFonts w:ascii="Times New Roman" w:hAnsi="Times New Roman" w:cs="Times New Roman"/>
          <w:sz w:val="24"/>
          <w:szCs w:val="24"/>
        </w:rPr>
      </w:pPr>
    </w:p>
    <w:p w14:paraId="72EC7146" w14:textId="77777777" w:rsidR="006E4B3A" w:rsidRPr="00A03CB5" w:rsidRDefault="006E4B3A">
      <w:pPr>
        <w:spacing w:line="240" w:lineRule="auto"/>
        <w:jc w:val="both"/>
        <w:rPr>
          <w:rFonts w:ascii="Times New Roman" w:hAnsi="Times New Roman" w:cs="Times New Roman"/>
          <w:sz w:val="24"/>
          <w:szCs w:val="24"/>
        </w:rPr>
      </w:pPr>
    </w:p>
    <w:p w14:paraId="73C27FFD" w14:textId="77777777" w:rsidR="006E4B3A" w:rsidRPr="00A03CB5" w:rsidRDefault="006E4B3A">
      <w:pPr>
        <w:spacing w:line="240" w:lineRule="auto"/>
        <w:ind w:firstLine="720"/>
        <w:jc w:val="both"/>
        <w:rPr>
          <w:rFonts w:ascii="Times New Roman" w:hAnsi="Times New Roman" w:cs="Times New Roman"/>
          <w:sz w:val="24"/>
          <w:szCs w:val="24"/>
        </w:rPr>
      </w:pPr>
    </w:p>
    <w:tbl>
      <w:tblPr>
        <w:tblStyle w:val="a0"/>
        <w:tblW w:w="9360" w:type="dxa"/>
        <w:tblLayout w:type="fixed"/>
        <w:tblLook w:val="0400" w:firstRow="0" w:lastRow="0" w:firstColumn="0" w:lastColumn="0" w:noHBand="0" w:noVBand="1"/>
      </w:tblPr>
      <w:tblGrid>
        <w:gridCol w:w="4860"/>
        <w:gridCol w:w="1666"/>
        <w:gridCol w:w="1506"/>
        <w:gridCol w:w="1328"/>
      </w:tblGrid>
      <w:tr w:rsidR="006E4B3A" w:rsidRPr="00A03CB5" w14:paraId="47BF238A" w14:textId="77777777">
        <w:trPr>
          <w:trHeight w:val="320"/>
        </w:trPr>
        <w:tc>
          <w:tcPr>
            <w:tcW w:w="9360" w:type="dxa"/>
            <w:gridSpan w:val="4"/>
            <w:tcBorders>
              <w:top w:val="nil"/>
              <w:left w:val="nil"/>
              <w:bottom w:val="single" w:sz="4" w:space="0" w:color="000000"/>
              <w:right w:val="nil"/>
            </w:tcBorders>
            <w:shd w:val="clear" w:color="auto" w:fill="auto"/>
            <w:vAlign w:val="bottom"/>
          </w:tcPr>
          <w:p w14:paraId="07B50CF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Table 2. Demographic characteristics</w:t>
            </w:r>
          </w:p>
        </w:tc>
      </w:tr>
      <w:tr w:rsidR="006E4B3A" w:rsidRPr="00A03CB5" w14:paraId="23954FD7" w14:textId="77777777">
        <w:trPr>
          <w:trHeight w:val="320"/>
        </w:trPr>
        <w:tc>
          <w:tcPr>
            <w:tcW w:w="4860" w:type="dxa"/>
            <w:tcBorders>
              <w:top w:val="single" w:sz="4" w:space="0" w:color="000000"/>
              <w:left w:val="nil"/>
              <w:bottom w:val="nil"/>
              <w:right w:val="nil"/>
            </w:tcBorders>
            <w:shd w:val="clear" w:color="auto" w:fill="auto"/>
            <w:vAlign w:val="bottom"/>
          </w:tcPr>
          <w:p w14:paraId="0AC34DBC" w14:textId="77777777" w:rsidR="006E4B3A" w:rsidRPr="00A03CB5" w:rsidRDefault="006E4B3A">
            <w:pPr>
              <w:spacing w:line="240" w:lineRule="auto"/>
              <w:rPr>
                <w:rFonts w:ascii="Times New Roman" w:eastAsia="Times New Roman" w:hAnsi="Times New Roman" w:cs="Times New Roman"/>
                <w:sz w:val="24"/>
                <w:szCs w:val="24"/>
              </w:rPr>
            </w:pPr>
          </w:p>
        </w:tc>
        <w:tc>
          <w:tcPr>
            <w:tcW w:w="4500" w:type="dxa"/>
            <w:gridSpan w:val="3"/>
            <w:tcBorders>
              <w:top w:val="single" w:sz="4" w:space="0" w:color="000000"/>
              <w:left w:val="nil"/>
              <w:bottom w:val="nil"/>
              <w:right w:val="nil"/>
            </w:tcBorders>
            <w:shd w:val="clear" w:color="auto" w:fill="auto"/>
            <w:vAlign w:val="bottom"/>
          </w:tcPr>
          <w:p w14:paraId="0189EEA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Food addiction diagnosis</w:t>
            </w:r>
          </w:p>
        </w:tc>
      </w:tr>
      <w:tr w:rsidR="006E4B3A" w:rsidRPr="00A03CB5" w14:paraId="5736C7BE" w14:textId="77777777">
        <w:trPr>
          <w:trHeight w:val="320"/>
        </w:trPr>
        <w:tc>
          <w:tcPr>
            <w:tcW w:w="4860" w:type="dxa"/>
            <w:tcBorders>
              <w:top w:val="nil"/>
              <w:left w:val="nil"/>
              <w:bottom w:val="single" w:sz="4" w:space="0" w:color="000000"/>
              <w:right w:val="nil"/>
            </w:tcBorders>
            <w:shd w:val="clear" w:color="auto" w:fill="auto"/>
            <w:vAlign w:val="bottom"/>
          </w:tcPr>
          <w:p w14:paraId="3224B66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Eating disorder diagnosis</w:t>
            </w:r>
          </w:p>
        </w:tc>
        <w:tc>
          <w:tcPr>
            <w:tcW w:w="1666" w:type="dxa"/>
            <w:tcBorders>
              <w:top w:val="nil"/>
              <w:left w:val="nil"/>
              <w:bottom w:val="single" w:sz="4" w:space="0" w:color="000000"/>
              <w:right w:val="nil"/>
            </w:tcBorders>
            <w:shd w:val="clear" w:color="auto" w:fill="auto"/>
            <w:vAlign w:val="bottom"/>
          </w:tcPr>
          <w:p w14:paraId="4576AE2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No food addiction (</w:t>
            </w:r>
            <w:r w:rsidRPr="00A03CB5">
              <w:rPr>
                <w:rFonts w:ascii="Times New Roman" w:eastAsia="Times New Roman" w:hAnsi="Times New Roman" w:cs="Times New Roman"/>
                <w:i/>
                <w:sz w:val="24"/>
                <w:szCs w:val="24"/>
              </w:rPr>
              <w:t>n</w:t>
            </w:r>
            <w:r w:rsidRPr="00A03CB5">
              <w:rPr>
                <w:rFonts w:ascii="Times New Roman" w:eastAsia="Times New Roman" w:hAnsi="Times New Roman" w:cs="Times New Roman"/>
                <w:sz w:val="24"/>
                <w:szCs w:val="24"/>
              </w:rPr>
              <w:t>)</w:t>
            </w:r>
          </w:p>
        </w:tc>
        <w:tc>
          <w:tcPr>
            <w:tcW w:w="1506" w:type="dxa"/>
            <w:tcBorders>
              <w:top w:val="nil"/>
              <w:left w:val="nil"/>
              <w:bottom w:val="single" w:sz="4" w:space="0" w:color="000000"/>
              <w:right w:val="nil"/>
            </w:tcBorders>
            <w:shd w:val="clear" w:color="auto" w:fill="auto"/>
            <w:vAlign w:val="bottom"/>
          </w:tcPr>
          <w:p w14:paraId="7504D63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Food addiction (</w:t>
            </w:r>
            <w:r w:rsidRPr="00A03CB5">
              <w:rPr>
                <w:rFonts w:ascii="Times New Roman" w:eastAsia="Times New Roman" w:hAnsi="Times New Roman" w:cs="Times New Roman"/>
                <w:i/>
                <w:sz w:val="24"/>
                <w:szCs w:val="24"/>
              </w:rPr>
              <w:t>n</w:t>
            </w:r>
            <w:r w:rsidRPr="00A03CB5">
              <w:rPr>
                <w:rFonts w:ascii="Times New Roman" w:eastAsia="Times New Roman" w:hAnsi="Times New Roman" w:cs="Times New Roman"/>
                <w:sz w:val="24"/>
                <w:szCs w:val="24"/>
              </w:rPr>
              <w:t>)</w:t>
            </w:r>
          </w:p>
        </w:tc>
        <w:tc>
          <w:tcPr>
            <w:tcW w:w="1328" w:type="dxa"/>
            <w:tcBorders>
              <w:top w:val="nil"/>
              <w:left w:val="nil"/>
              <w:bottom w:val="single" w:sz="4" w:space="0" w:color="000000"/>
              <w:right w:val="nil"/>
            </w:tcBorders>
            <w:shd w:val="clear" w:color="auto" w:fill="auto"/>
            <w:vAlign w:val="bottom"/>
          </w:tcPr>
          <w:p w14:paraId="559BDB3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Total</w:t>
            </w:r>
          </w:p>
        </w:tc>
      </w:tr>
      <w:tr w:rsidR="006E4B3A" w:rsidRPr="00A03CB5" w14:paraId="27DBDCEF" w14:textId="77777777">
        <w:trPr>
          <w:trHeight w:val="320"/>
        </w:trPr>
        <w:tc>
          <w:tcPr>
            <w:tcW w:w="4860" w:type="dxa"/>
            <w:tcBorders>
              <w:top w:val="single" w:sz="4" w:space="0" w:color="000000"/>
              <w:left w:val="nil"/>
              <w:bottom w:val="nil"/>
              <w:right w:val="nil"/>
            </w:tcBorders>
            <w:shd w:val="clear" w:color="auto" w:fill="auto"/>
            <w:vAlign w:val="bottom"/>
          </w:tcPr>
          <w:p w14:paraId="6B99A54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Anorexia nervosa</w:t>
            </w:r>
          </w:p>
        </w:tc>
        <w:tc>
          <w:tcPr>
            <w:tcW w:w="1666" w:type="dxa"/>
            <w:tcBorders>
              <w:top w:val="single" w:sz="4" w:space="0" w:color="000000"/>
              <w:left w:val="nil"/>
              <w:bottom w:val="nil"/>
              <w:right w:val="nil"/>
            </w:tcBorders>
            <w:shd w:val="clear" w:color="auto" w:fill="auto"/>
            <w:vAlign w:val="bottom"/>
          </w:tcPr>
          <w:p w14:paraId="00668C2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0</w:t>
            </w:r>
          </w:p>
        </w:tc>
        <w:tc>
          <w:tcPr>
            <w:tcW w:w="1506" w:type="dxa"/>
            <w:tcBorders>
              <w:top w:val="single" w:sz="4" w:space="0" w:color="000000"/>
              <w:left w:val="nil"/>
              <w:bottom w:val="nil"/>
              <w:right w:val="nil"/>
            </w:tcBorders>
            <w:shd w:val="clear" w:color="auto" w:fill="auto"/>
            <w:vAlign w:val="bottom"/>
          </w:tcPr>
          <w:p w14:paraId="791B9BA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0</w:t>
            </w:r>
          </w:p>
        </w:tc>
        <w:tc>
          <w:tcPr>
            <w:tcW w:w="1328" w:type="dxa"/>
            <w:tcBorders>
              <w:top w:val="single" w:sz="4" w:space="0" w:color="000000"/>
              <w:left w:val="nil"/>
              <w:bottom w:val="nil"/>
              <w:right w:val="nil"/>
            </w:tcBorders>
            <w:shd w:val="clear" w:color="auto" w:fill="auto"/>
            <w:vAlign w:val="bottom"/>
          </w:tcPr>
          <w:p w14:paraId="332EDCD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0</w:t>
            </w:r>
          </w:p>
        </w:tc>
      </w:tr>
      <w:tr w:rsidR="006E4B3A" w:rsidRPr="00A03CB5" w14:paraId="46DC8F9C" w14:textId="77777777">
        <w:trPr>
          <w:trHeight w:val="320"/>
        </w:trPr>
        <w:tc>
          <w:tcPr>
            <w:tcW w:w="4860" w:type="dxa"/>
            <w:tcBorders>
              <w:top w:val="nil"/>
              <w:left w:val="nil"/>
              <w:bottom w:val="nil"/>
              <w:right w:val="nil"/>
            </w:tcBorders>
            <w:shd w:val="clear" w:color="auto" w:fill="auto"/>
            <w:vAlign w:val="bottom"/>
          </w:tcPr>
          <w:p w14:paraId="38B77DB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Atypical anorexia nervosa</w:t>
            </w:r>
          </w:p>
        </w:tc>
        <w:tc>
          <w:tcPr>
            <w:tcW w:w="1666" w:type="dxa"/>
            <w:tcBorders>
              <w:top w:val="nil"/>
              <w:left w:val="nil"/>
              <w:bottom w:val="nil"/>
              <w:right w:val="nil"/>
            </w:tcBorders>
            <w:shd w:val="clear" w:color="auto" w:fill="auto"/>
            <w:vAlign w:val="bottom"/>
          </w:tcPr>
          <w:p w14:paraId="725E947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0</w:t>
            </w:r>
          </w:p>
        </w:tc>
        <w:tc>
          <w:tcPr>
            <w:tcW w:w="1506" w:type="dxa"/>
            <w:tcBorders>
              <w:top w:val="nil"/>
              <w:left w:val="nil"/>
              <w:bottom w:val="nil"/>
              <w:right w:val="nil"/>
            </w:tcBorders>
            <w:shd w:val="clear" w:color="auto" w:fill="auto"/>
            <w:vAlign w:val="bottom"/>
          </w:tcPr>
          <w:p w14:paraId="31739CC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w:t>
            </w:r>
          </w:p>
        </w:tc>
        <w:tc>
          <w:tcPr>
            <w:tcW w:w="1328" w:type="dxa"/>
            <w:tcBorders>
              <w:top w:val="nil"/>
              <w:left w:val="nil"/>
              <w:bottom w:val="nil"/>
              <w:right w:val="nil"/>
            </w:tcBorders>
            <w:shd w:val="clear" w:color="auto" w:fill="auto"/>
            <w:vAlign w:val="bottom"/>
          </w:tcPr>
          <w:p w14:paraId="3B51A96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w:t>
            </w:r>
          </w:p>
        </w:tc>
      </w:tr>
      <w:tr w:rsidR="006E4B3A" w:rsidRPr="00A03CB5" w14:paraId="0F1CDB60" w14:textId="77777777">
        <w:trPr>
          <w:trHeight w:val="320"/>
        </w:trPr>
        <w:tc>
          <w:tcPr>
            <w:tcW w:w="4860" w:type="dxa"/>
            <w:tcBorders>
              <w:top w:val="nil"/>
              <w:left w:val="nil"/>
              <w:bottom w:val="nil"/>
              <w:right w:val="nil"/>
            </w:tcBorders>
            <w:shd w:val="clear" w:color="auto" w:fill="auto"/>
            <w:vAlign w:val="bottom"/>
          </w:tcPr>
          <w:p w14:paraId="167E408C"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Bulimia nervosa</w:t>
            </w:r>
          </w:p>
        </w:tc>
        <w:tc>
          <w:tcPr>
            <w:tcW w:w="1666" w:type="dxa"/>
            <w:tcBorders>
              <w:top w:val="nil"/>
              <w:left w:val="nil"/>
              <w:bottom w:val="nil"/>
              <w:right w:val="nil"/>
            </w:tcBorders>
            <w:shd w:val="clear" w:color="auto" w:fill="auto"/>
            <w:vAlign w:val="bottom"/>
          </w:tcPr>
          <w:p w14:paraId="047EEB6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w:t>
            </w:r>
          </w:p>
        </w:tc>
        <w:tc>
          <w:tcPr>
            <w:tcW w:w="1506" w:type="dxa"/>
            <w:tcBorders>
              <w:top w:val="nil"/>
              <w:left w:val="nil"/>
              <w:bottom w:val="nil"/>
              <w:right w:val="nil"/>
            </w:tcBorders>
            <w:shd w:val="clear" w:color="auto" w:fill="auto"/>
            <w:vAlign w:val="bottom"/>
          </w:tcPr>
          <w:p w14:paraId="141A0FF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28</w:t>
            </w:r>
          </w:p>
        </w:tc>
        <w:tc>
          <w:tcPr>
            <w:tcW w:w="1328" w:type="dxa"/>
            <w:tcBorders>
              <w:top w:val="nil"/>
              <w:left w:val="nil"/>
              <w:bottom w:val="nil"/>
              <w:right w:val="nil"/>
            </w:tcBorders>
            <w:shd w:val="clear" w:color="auto" w:fill="auto"/>
            <w:vAlign w:val="bottom"/>
          </w:tcPr>
          <w:p w14:paraId="46E30AA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30</w:t>
            </w:r>
          </w:p>
        </w:tc>
      </w:tr>
      <w:tr w:rsidR="006E4B3A" w:rsidRPr="00A03CB5" w14:paraId="6AB63665" w14:textId="77777777">
        <w:trPr>
          <w:trHeight w:val="320"/>
        </w:trPr>
        <w:tc>
          <w:tcPr>
            <w:tcW w:w="4860" w:type="dxa"/>
            <w:tcBorders>
              <w:top w:val="nil"/>
              <w:left w:val="nil"/>
              <w:bottom w:val="nil"/>
              <w:right w:val="nil"/>
            </w:tcBorders>
            <w:shd w:val="clear" w:color="auto" w:fill="auto"/>
            <w:vAlign w:val="bottom"/>
          </w:tcPr>
          <w:p w14:paraId="6118AD84"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Subthreshold bulimia nervosa</w:t>
            </w:r>
          </w:p>
        </w:tc>
        <w:tc>
          <w:tcPr>
            <w:tcW w:w="1666" w:type="dxa"/>
            <w:tcBorders>
              <w:top w:val="nil"/>
              <w:left w:val="nil"/>
              <w:bottom w:val="nil"/>
              <w:right w:val="nil"/>
            </w:tcBorders>
            <w:shd w:val="clear" w:color="auto" w:fill="auto"/>
            <w:vAlign w:val="bottom"/>
          </w:tcPr>
          <w:p w14:paraId="0AC5914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w:t>
            </w:r>
          </w:p>
        </w:tc>
        <w:tc>
          <w:tcPr>
            <w:tcW w:w="1506" w:type="dxa"/>
            <w:tcBorders>
              <w:top w:val="nil"/>
              <w:left w:val="nil"/>
              <w:bottom w:val="nil"/>
              <w:right w:val="nil"/>
            </w:tcBorders>
            <w:shd w:val="clear" w:color="auto" w:fill="auto"/>
            <w:vAlign w:val="bottom"/>
          </w:tcPr>
          <w:p w14:paraId="5862E89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0</w:t>
            </w:r>
          </w:p>
        </w:tc>
        <w:tc>
          <w:tcPr>
            <w:tcW w:w="1328" w:type="dxa"/>
            <w:tcBorders>
              <w:top w:val="nil"/>
              <w:left w:val="nil"/>
              <w:bottom w:val="nil"/>
              <w:right w:val="nil"/>
            </w:tcBorders>
            <w:shd w:val="clear" w:color="auto" w:fill="auto"/>
            <w:vAlign w:val="bottom"/>
          </w:tcPr>
          <w:p w14:paraId="6582EC7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w:t>
            </w:r>
          </w:p>
        </w:tc>
      </w:tr>
      <w:tr w:rsidR="006E4B3A" w:rsidRPr="00A03CB5" w14:paraId="26489171" w14:textId="77777777">
        <w:trPr>
          <w:trHeight w:val="320"/>
        </w:trPr>
        <w:tc>
          <w:tcPr>
            <w:tcW w:w="4860" w:type="dxa"/>
            <w:tcBorders>
              <w:top w:val="nil"/>
              <w:left w:val="nil"/>
              <w:bottom w:val="nil"/>
              <w:right w:val="nil"/>
            </w:tcBorders>
            <w:shd w:val="clear" w:color="auto" w:fill="auto"/>
            <w:vAlign w:val="bottom"/>
          </w:tcPr>
          <w:p w14:paraId="6B519E2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Binge eating disorder</w:t>
            </w:r>
          </w:p>
        </w:tc>
        <w:tc>
          <w:tcPr>
            <w:tcW w:w="1666" w:type="dxa"/>
            <w:tcBorders>
              <w:top w:val="nil"/>
              <w:left w:val="nil"/>
              <w:bottom w:val="nil"/>
              <w:right w:val="nil"/>
            </w:tcBorders>
            <w:shd w:val="clear" w:color="auto" w:fill="auto"/>
            <w:vAlign w:val="bottom"/>
          </w:tcPr>
          <w:p w14:paraId="352C1ED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w:t>
            </w:r>
          </w:p>
        </w:tc>
        <w:tc>
          <w:tcPr>
            <w:tcW w:w="1506" w:type="dxa"/>
            <w:tcBorders>
              <w:top w:val="nil"/>
              <w:left w:val="nil"/>
              <w:bottom w:val="nil"/>
              <w:right w:val="nil"/>
            </w:tcBorders>
            <w:shd w:val="clear" w:color="auto" w:fill="auto"/>
            <w:vAlign w:val="bottom"/>
          </w:tcPr>
          <w:p w14:paraId="78A9246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w:t>
            </w:r>
          </w:p>
        </w:tc>
        <w:tc>
          <w:tcPr>
            <w:tcW w:w="1328" w:type="dxa"/>
            <w:tcBorders>
              <w:top w:val="nil"/>
              <w:left w:val="nil"/>
              <w:bottom w:val="nil"/>
              <w:right w:val="nil"/>
            </w:tcBorders>
            <w:shd w:val="clear" w:color="auto" w:fill="auto"/>
            <w:vAlign w:val="bottom"/>
          </w:tcPr>
          <w:p w14:paraId="0BE689F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w:t>
            </w:r>
          </w:p>
        </w:tc>
      </w:tr>
      <w:tr w:rsidR="006E4B3A" w:rsidRPr="00A03CB5" w14:paraId="13C5DFFB" w14:textId="77777777">
        <w:trPr>
          <w:trHeight w:val="320"/>
        </w:trPr>
        <w:tc>
          <w:tcPr>
            <w:tcW w:w="4860" w:type="dxa"/>
            <w:tcBorders>
              <w:top w:val="nil"/>
              <w:left w:val="nil"/>
              <w:bottom w:val="nil"/>
              <w:right w:val="nil"/>
            </w:tcBorders>
            <w:shd w:val="clear" w:color="auto" w:fill="auto"/>
            <w:vAlign w:val="bottom"/>
          </w:tcPr>
          <w:p w14:paraId="4900706B"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Subthreshold binge eating disorder</w:t>
            </w:r>
          </w:p>
        </w:tc>
        <w:tc>
          <w:tcPr>
            <w:tcW w:w="1666" w:type="dxa"/>
            <w:tcBorders>
              <w:top w:val="nil"/>
              <w:left w:val="nil"/>
              <w:bottom w:val="nil"/>
              <w:right w:val="nil"/>
            </w:tcBorders>
            <w:shd w:val="clear" w:color="auto" w:fill="auto"/>
            <w:vAlign w:val="bottom"/>
          </w:tcPr>
          <w:p w14:paraId="30E5A6F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w:t>
            </w:r>
          </w:p>
        </w:tc>
        <w:tc>
          <w:tcPr>
            <w:tcW w:w="1506" w:type="dxa"/>
            <w:tcBorders>
              <w:top w:val="nil"/>
              <w:left w:val="nil"/>
              <w:bottom w:val="nil"/>
              <w:right w:val="nil"/>
            </w:tcBorders>
            <w:shd w:val="clear" w:color="auto" w:fill="auto"/>
            <w:vAlign w:val="bottom"/>
          </w:tcPr>
          <w:p w14:paraId="75423ED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0</w:t>
            </w:r>
          </w:p>
        </w:tc>
        <w:tc>
          <w:tcPr>
            <w:tcW w:w="1328" w:type="dxa"/>
            <w:tcBorders>
              <w:top w:val="nil"/>
              <w:left w:val="nil"/>
              <w:bottom w:val="nil"/>
              <w:right w:val="nil"/>
            </w:tcBorders>
            <w:shd w:val="clear" w:color="auto" w:fill="auto"/>
            <w:vAlign w:val="bottom"/>
          </w:tcPr>
          <w:p w14:paraId="0972CA4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w:t>
            </w:r>
          </w:p>
        </w:tc>
      </w:tr>
      <w:tr w:rsidR="006E4B3A" w:rsidRPr="00A03CB5" w14:paraId="67DC3934" w14:textId="77777777">
        <w:trPr>
          <w:trHeight w:val="320"/>
        </w:trPr>
        <w:tc>
          <w:tcPr>
            <w:tcW w:w="4860" w:type="dxa"/>
            <w:tcBorders>
              <w:top w:val="nil"/>
              <w:left w:val="nil"/>
              <w:bottom w:val="nil"/>
              <w:right w:val="nil"/>
            </w:tcBorders>
            <w:shd w:val="clear" w:color="auto" w:fill="auto"/>
            <w:vAlign w:val="bottom"/>
          </w:tcPr>
          <w:p w14:paraId="292E54C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Night eating syndrome</w:t>
            </w:r>
          </w:p>
        </w:tc>
        <w:tc>
          <w:tcPr>
            <w:tcW w:w="1666" w:type="dxa"/>
            <w:tcBorders>
              <w:top w:val="nil"/>
              <w:left w:val="nil"/>
              <w:bottom w:val="nil"/>
              <w:right w:val="nil"/>
            </w:tcBorders>
            <w:shd w:val="clear" w:color="auto" w:fill="auto"/>
            <w:vAlign w:val="bottom"/>
          </w:tcPr>
          <w:p w14:paraId="71776A2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13</w:t>
            </w:r>
          </w:p>
        </w:tc>
        <w:tc>
          <w:tcPr>
            <w:tcW w:w="1506" w:type="dxa"/>
            <w:tcBorders>
              <w:top w:val="nil"/>
              <w:left w:val="nil"/>
              <w:bottom w:val="nil"/>
              <w:right w:val="nil"/>
            </w:tcBorders>
            <w:shd w:val="clear" w:color="auto" w:fill="auto"/>
            <w:vAlign w:val="bottom"/>
          </w:tcPr>
          <w:p w14:paraId="0D2F35E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7</w:t>
            </w:r>
          </w:p>
        </w:tc>
        <w:tc>
          <w:tcPr>
            <w:tcW w:w="1328" w:type="dxa"/>
            <w:tcBorders>
              <w:top w:val="nil"/>
              <w:left w:val="nil"/>
              <w:bottom w:val="nil"/>
              <w:right w:val="nil"/>
            </w:tcBorders>
            <w:shd w:val="clear" w:color="auto" w:fill="auto"/>
            <w:vAlign w:val="bottom"/>
          </w:tcPr>
          <w:p w14:paraId="673498F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20</w:t>
            </w:r>
          </w:p>
        </w:tc>
      </w:tr>
      <w:tr w:rsidR="006E4B3A" w:rsidRPr="00A03CB5" w14:paraId="5D4D8153" w14:textId="77777777">
        <w:trPr>
          <w:trHeight w:val="320"/>
        </w:trPr>
        <w:tc>
          <w:tcPr>
            <w:tcW w:w="4860" w:type="dxa"/>
            <w:tcBorders>
              <w:top w:val="nil"/>
              <w:left w:val="nil"/>
              <w:bottom w:val="nil"/>
              <w:right w:val="nil"/>
            </w:tcBorders>
            <w:shd w:val="clear" w:color="auto" w:fill="auto"/>
            <w:vAlign w:val="bottom"/>
          </w:tcPr>
          <w:p w14:paraId="068B701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No eating disorder diagnosis</w:t>
            </w:r>
          </w:p>
        </w:tc>
        <w:tc>
          <w:tcPr>
            <w:tcW w:w="1666" w:type="dxa"/>
            <w:tcBorders>
              <w:top w:val="nil"/>
              <w:left w:val="nil"/>
              <w:bottom w:val="nil"/>
              <w:right w:val="nil"/>
            </w:tcBorders>
            <w:shd w:val="clear" w:color="auto" w:fill="auto"/>
            <w:vAlign w:val="bottom"/>
          </w:tcPr>
          <w:p w14:paraId="2E56C61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83</w:t>
            </w:r>
          </w:p>
        </w:tc>
        <w:tc>
          <w:tcPr>
            <w:tcW w:w="1506" w:type="dxa"/>
            <w:tcBorders>
              <w:top w:val="nil"/>
              <w:left w:val="nil"/>
              <w:bottom w:val="nil"/>
              <w:right w:val="nil"/>
            </w:tcBorders>
            <w:shd w:val="clear" w:color="auto" w:fill="auto"/>
            <w:vAlign w:val="bottom"/>
          </w:tcPr>
          <w:p w14:paraId="51F9531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9</w:t>
            </w:r>
          </w:p>
        </w:tc>
        <w:tc>
          <w:tcPr>
            <w:tcW w:w="1328" w:type="dxa"/>
            <w:tcBorders>
              <w:top w:val="nil"/>
              <w:left w:val="nil"/>
              <w:bottom w:val="nil"/>
              <w:right w:val="nil"/>
            </w:tcBorders>
            <w:shd w:val="clear" w:color="auto" w:fill="auto"/>
            <w:vAlign w:val="bottom"/>
          </w:tcPr>
          <w:p w14:paraId="64F670A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92</w:t>
            </w:r>
          </w:p>
        </w:tc>
      </w:tr>
      <w:tr w:rsidR="006E4B3A" w:rsidRPr="00A03CB5" w14:paraId="274FDEBE" w14:textId="77777777">
        <w:trPr>
          <w:trHeight w:val="320"/>
        </w:trPr>
        <w:tc>
          <w:tcPr>
            <w:tcW w:w="4860" w:type="dxa"/>
            <w:tcBorders>
              <w:top w:val="nil"/>
              <w:left w:val="nil"/>
              <w:bottom w:val="nil"/>
              <w:right w:val="nil"/>
            </w:tcBorders>
            <w:shd w:val="clear" w:color="auto" w:fill="auto"/>
            <w:vAlign w:val="bottom"/>
          </w:tcPr>
          <w:p w14:paraId="01673D4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Total</w:t>
            </w:r>
          </w:p>
        </w:tc>
        <w:tc>
          <w:tcPr>
            <w:tcW w:w="1666" w:type="dxa"/>
            <w:tcBorders>
              <w:top w:val="nil"/>
              <w:left w:val="nil"/>
              <w:bottom w:val="nil"/>
              <w:right w:val="nil"/>
            </w:tcBorders>
            <w:shd w:val="clear" w:color="auto" w:fill="auto"/>
            <w:vAlign w:val="bottom"/>
          </w:tcPr>
          <w:p w14:paraId="70A5698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105</w:t>
            </w:r>
          </w:p>
        </w:tc>
        <w:tc>
          <w:tcPr>
            <w:tcW w:w="1506" w:type="dxa"/>
            <w:tcBorders>
              <w:top w:val="nil"/>
              <w:left w:val="nil"/>
              <w:bottom w:val="nil"/>
              <w:right w:val="nil"/>
            </w:tcBorders>
            <w:shd w:val="clear" w:color="auto" w:fill="auto"/>
            <w:vAlign w:val="bottom"/>
          </w:tcPr>
          <w:p w14:paraId="14CE89D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48</w:t>
            </w:r>
          </w:p>
        </w:tc>
        <w:tc>
          <w:tcPr>
            <w:tcW w:w="1328" w:type="dxa"/>
            <w:tcBorders>
              <w:top w:val="nil"/>
              <w:left w:val="nil"/>
              <w:bottom w:val="nil"/>
              <w:right w:val="nil"/>
            </w:tcBorders>
            <w:shd w:val="clear" w:color="auto" w:fill="auto"/>
            <w:vAlign w:val="bottom"/>
          </w:tcPr>
          <w:p w14:paraId="528A865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153</w:t>
            </w:r>
          </w:p>
        </w:tc>
      </w:tr>
      <w:tr w:rsidR="006E4B3A" w:rsidRPr="00A03CB5" w14:paraId="3A88FFAF" w14:textId="77777777">
        <w:trPr>
          <w:trHeight w:val="320"/>
        </w:trPr>
        <w:tc>
          <w:tcPr>
            <w:tcW w:w="4860" w:type="dxa"/>
            <w:tcBorders>
              <w:top w:val="nil"/>
              <w:left w:val="nil"/>
              <w:bottom w:val="nil"/>
              <w:right w:val="nil"/>
            </w:tcBorders>
            <w:shd w:val="clear" w:color="auto" w:fill="auto"/>
            <w:vAlign w:val="bottom"/>
          </w:tcPr>
          <w:p w14:paraId="3E20E887"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666" w:type="dxa"/>
            <w:tcBorders>
              <w:top w:val="nil"/>
              <w:left w:val="nil"/>
              <w:bottom w:val="nil"/>
              <w:right w:val="nil"/>
            </w:tcBorders>
            <w:shd w:val="clear" w:color="auto" w:fill="auto"/>
            <w:vAlign w:val="bottom"/>
          </w:tcPr>
          <w:p w14:paraId="0F856427"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506" w:type="dxa"/>
            <w:tcBorders>
              <w:top w:val="nil"/>
              <w:left w:val="nil"/>
              <w:bottom w:val="nil"/>
              <w:right w:val="nil"/>
            </w:tcBorders>
            <w:shd w:val="clear" w:color="auto" w:fill="auto"/>
            <w:vAlign w:val="bottom"/>
          </w:tcPr>
          <w:p w14:paraId="0B5FEF3B"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vAlign w:val="bottom"/>
          </w:tcPr>
          <w:p w14:paraId="7A6973B6"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21AEC851" w14:textId="77777777">
        <w:trPr>
          <w:trHeight w:val="320"/>
        </w:trPr>
        <w:tc>
          <w:tcPr>
            <w:tcW w:w="4860" w:type="dxa"/>
            <w:tcBorders>
              <w:top w:val="nil"/>
              <w:left w:val="nil"/>
              <w:bottom w:val="single" w:sz="4" w:space="0" w:color="000000"/>
              <w:right w:val="nil"/>
            </w:tcBorders>
            <w:shd w:val="clear" w:color="auto" w:fill="auto"/>
            <w:vAlign w:val="bottom"/>
          </w:tcPr>
          <w:p w14:paraId="34C5AC13"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Gender identity</w:t>
            </w:r>
          </w:p>
        </w:tc>
        <w:tc>
          <w:tcPr>
            <w:tcW w:w="1666" w:type="dxa"/>
            <w:tcBorders>
              <w:top w:val="nil"/>
              <w:left w:val="nil"/>
              <w:bottom w:val="single" w:sz="4" w:space="0" w:color="000000"/>
              <w:right w:val="nil"/>
            </w:tcBorders>
            <w:shd w:val="clear" w:color="auto" w:fill="auto"/>
            <w:vAlign w:val="bottom"/>
          </w:tcPr>
          <w:p w14:paraId="1E672407"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n</w:t>
            </w:r>
          </w:p>
        </w:tc>
        <w:tc>
          <w:tcPr>
            <w:tcW w:w="1506" w:type="dxa"/>
            <w:tcBorders>
              <w:top w:val="nil"/>
              <w:left w:val="nil"/>
              <w:bottom w:val="single" w:sz="4" w:space="0" w:color="000000"/>
              <w:right w:val="nil"/>
            </w:tcBorders>
            <w:shd w:val="clear" w:color="auto" w:fill="auto"/>
            <w:vAlign w:val="bottom"/>
          </w:tcPr>
          <w:p w14:paraId="75DDF330"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w:t>
            </w:r>
          </w:p>
        </w:tc>
        <w:tc>
          <w:tcPr>
            <w:tcW w:w="1328" w:type="dxa"/>
            <w:tcBorders>
              <w:top w:val="nil"/>
              <w:left w:val="nil"/>
              <w:bottom w:val="nil"/>
              <w:right w:val="nil"/>
            </w:tcBorders>
            <w:shd w:val="clear" w:color="auto" w:fill="auto"/>
            <w:vAlign w:val="bottom"/>
          </w:tcPr>
          <w:p w14:paraId="5EC75FB0"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42891CD4" w14:textId="77777777">
        <w:trPr>
          <w:trHeight w:val="320"/>
        </w:trPr>
        <w:tc>
          <w:tcPr>
            <w:tcW w:w="4860" w:type="dxa"/>
            <w:tcBorders>
              <w:top w:val="single" w:sz="4" w:space="0" w:color="000000"/>
              <w:left w:val="nil"/>
              <w:bottom w:val="nil"/>
              <w:right w:val="nil"/>
            </w:tcBorders>
            <w:shd w:val="clear" w:color="auto" w:fill="auto"/>
            <w:vAlign w:val="bottom"/>
          </w:tcPr>
          <w:p w14:paraId="49479C0C"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Man</w:t>
            </w:r>
          </w:p>
        </w:tc>
        <w:tc>
          <w:tcPr>
            <w:tcW w:w="1666" w:type="dxa"/>
            <w:tcBorders>
              <w:top w:val="single" w:sz="4" w:space="0" w:color="000000"/>
              <w:left w:val="nil"/>
              <w:bottom w:val="nil"/>
              <w:right w:val="nil"/>
            </w:tcBorders>
            <w:shd w:val="clear" w:color="auto" w:fill="auto"/>
            <w:vAlign w:val="bottom"/>
          </w:tcPr>
          <w:p w14:paraId="5B3A634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55</w:t>
            </w:r>
          </w:p>
        </w:tc>
        <w:tc>
          <w:tcPr>
            <w:tcW w:w="1506" w:type="dxa"/>
            <w:tcBorders>
              <w:top w:val="single" w:sz="4" w:space="0" w:color="000000"/>
              <w:left w:val="nil"/>
              <w:bottom w:val="nil"/>
              <w:right w:val="nil"/>
            </w:tcBorders>
            <w:shd w:val="clear" w:color="auto" w:fill="auto"/>
            <w:vAlign w:val="bottom"/>
          </w:tcPr>
          <w:p w14:paraId="69FFA2B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35.9</w:t>
            </w:r>
          </w:p>
        </w:tc>
        <w:tc>
          <w:tcPr>
            <w:tcW w:w="1328" w:type="dxa"/>
            <w:tcBorders>
              <w:top w:val="nil"/>
              <w:left w:val="nil"/>
              <w:bottom w:val="nil"/>
              <w:right w:val="nil"/>
            </w:tcBorders>
            <w:shd w:val="clear" w:color="auto" w:fill="auto"/>
            <w:vAlign w:val="bottom"/>
          </w:tcPr>
          <w:p w14:paraId="0F120CFE"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768E0859" w14:textId="77777777">
        <w:trPr>
          <w:trHeight w:val="320"/>
        </w:trPr>
        <w:tc>
          <w:tcPr>
            <w:tcW w:w="4860" w:type="dxa"/>
            <w:tcBorders>
              <w:top w:val="nil"/>
              <w:left w:val="nil"/>
              <w:bottom w:val="nil"/>
              <w:right w:val="nil"/>
            </w:tcBorders>
            <w:shd w:val="clear" w:color="auto" w:fill="auto"/>
            <w:vAlign w:val="bottom"/>
          </w:tcPr>
          <w:p w14:paraId="2123BF7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lastRenderedPageBreak/>
              <w:t>Woman</w:t>
            </w:r>
          </w:p>
        </w:tc>
        <w:tc>
          <w:tcPr>
            <w:tcW w:w="1666" w:type="dxa"/>
            <w:tcBorders>
              <w:top w:val="nil"/>
              <w:left w:val="nil"/>
              <w:bottom w:val="nil"/>
              <w:right w:val="nil"/>
            </w:tcBorders>
            <w:shd w:val="clear" w:color="auto" w:fill="auto"/>
            <w:vAlign w:val="bottom"/>
          </w:tcPr>
          <w:p w14:paraId="737518E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89</w:t>
            </w:r>
          </w:p>
        </w:tc>
        <w:tc>
          <w:tcPr>
            <w:tcW w:w="1506" w:type="dxa"/>
            <w:tcBorders>
              <w:top w:val="nil"/>
              <w:left w:val="nil"/>
              <w:bottom w:val="nil"/>
              <w:right w:val="nil"/>
            </w:tcBorders>
            <w:shd w:val="clear" w:color="auto" w:fill="auto"/>
            <w:vAlign w:val="bottom"/>
          </w:tcPr>
          <w:p w14:paraId="6E48A27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58.2</w:t>
            </w:r>
          </w:p>
        </w:tc>
        <w:tc>
          <w:tcPr>
            <w:tcW w:w="1328" w:type="dxa"/>
            <w:tcBorders>
              <w:top w:val="nil"/>
              <w:left w:val="nil"/>
              <w:bottom w:val="nil"/>
              <w:right w:val="nil"/>
            </w:tcBorders>
            <w:shd w:val="clear" w:color="auto" w:fill="auto"/>
            <w:vAlign w:val="bottom"/>
          </w:tcPr>
          <w:p w14:paraId="738CAB21"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3E9A2BFB" w14:textId="77777777">
        <w:trPr>
          <w:trHeight w:val="320"/>
        </w:trPr>
        <w:tc>
          <w:tcPr>
            <w:tcW w:w="4860" w:type="dxa"/>
            <w:tcBorders>
              <w:top w:val="nil"/>
              <w:left w:val="nil"/>
              <w:bottom w:val="nil"/>
              <w:right w:val="nil"/>
            </w:tcBorders>
            <w:shd w:val="clear" w:color="auto" w:fill="auto"/>
            <w:vAlign w:val="bottom"/>
          </w:tcPr>
          <w:p w14:paraId="41E325CF"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Transgender man</w:t>
            </w:r>
          </w:p>
        </w:tc>
        <w:tc>
          <w:tcPr>
            <w:tcW w:w="1666" w:type="dxa"/>
            <w:tcBorders>
              <w:top w:val="nil"/>
              <w:left w:val="nil"/>
              <w:bottom w:val="nil"/>
              <w:right w:val="nil"/>
            </w:tcBorders>
            <w:shd w:val="clear" w:color="auto" w:fill="auto"/>
            <w:vAlign w:val="bottom"/>
          </w:tcPr>
          <w:p w14:paraId="422E4A3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w:t>
            </w:r>
          </w:p>
        </w:tc>
        <w:tc>
          <w:tcPr>
            <w:tcW w:w="1506" w:type="dxa"/>
            <w:tcBorders>
              <w:top w:val="nil"/>
              <w:left w:val="nil"/>
              <w:bottom w:val="nil"/>
              <w:right w:val="nil"/>
            </w:tcBorders>
            <w:shd w:val="clear" w:color="auto" w:fill="auto"/>
            <w:vAlign w:val="bottom"/>
          </w:tcPr>
          <w:p w14:paraId="04E12B6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1.3</w:t>
            </w:r>
          </w:p>
        </w:tc>
        <w:tc>
          <w:tcPr>
            <w:tcW w:w="1328" w:type="dxa"/>
            <w:tcBorders>
              <w:top w:val="nil"/>
              <w:left w:val="nil"/>
              <w:bottom w:val="nil"/>
              <w:right w:val="nil"/>
            </w:tcBorders>
            <w:shd w:val="clear" w:color="auto" w:fill="auto"/>
            <w:vAlign w:val="bottom"/>
          </w:tcPr>
          <w:p w14:paraId="4D4A8341"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3DDF867C" w14:textId="77777777">
        <w:trPr>
          <w:trHeight w:val="320"/>
        </w:trPr>
        <w:tc>
          <w:tcPr>
            <w:tcW w:w="4860" w:type="dxa"/>
            <w:tcBorders>
              <w:top w:val="nil"/>
              <w:left w:val="nil"/>
              <w:bottom w:val="nil"/>
              <w:right w:val="nil"/>
            </w:tcBorders>
            <w:shd w:val="clear" w:color="auto" w:fill="auto"/>
            <w:vAlign w:val="bottom"/>
          </w:tcPr>
          <w:p w14:paraId="3B960E1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Gender questioning/non-conforming/non-binary</w:t>
            </w:r>
          </w:p>
        </w:tc>
        <w:tc>
          <w:tcPr>
            <w:tcW w:w="1666" w:type="dxa"/>
            <w:tcBorders>
              <w:top w:val="nil"/>
              <w:left w:val="nil"/>
              <w:bottom w:val="nil"/>
              <w:right w:val="nil"/>
            </w:tcBorders>
            <w:shd w:val="clear" w:color="auto" w:fill="auto"/>
            <w:vAlign w:val="bottom"/>
          </w:tcPr>
          <w:p w14:paraId="06A7039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7</w:t>
            </w:r>
          </w:p>
        </w:tc>
        <w:tc>
          <w:tcPr>
            <w:tcW w:w="1506" w:type="dxa"/>
            <w:tcBorders>
              <w:top w:val="nil"/>
              <w:left w:val="nil"/>
              <w:bottom w:val="nil"/>
              <w:right w:val="nil"/>
            </w:tcBorders>
            <w:shd w:val="clear" w:color="auto" w:fill="auto"/>
            <w:vAlign w:val="bottom"/>
          </w:tcPr>
          <w:p w14:paraId="50406D2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4.6</w:t>
            </w:r>
          </w:p>
        </w:tc>
        <w:tc>
          <w:tcPr>
            <w:tcW w:w="1328" w:type="dxa"/>
            <w:tcBorders>
              <w:top w:val="nil"/>
              <w:left w:val="nil"/>
              <w:bottom w:val="nil"/>
              <w:right w:val="nil"/>
            </w:tcBorders>
            <w:shd w:val="clear" w:color="auto" w:fill="auto"/>
            <w:vAlign w:val="bottom"/>
          </w:tcPr>
          <w:p w14:paraId="52A92439"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5739FB49" w14:textId="77777777">
        <w:trPr>
          <w:trHeight w:val="320"/>
        </w:trPr>
        <w:tc>
          <w:tcPr>
            <w:tcW w:w="4860" w:type="dxa"/>
            <w:tcBorders>
              <w:top w:val="nil"/>
              <w:left w:val="nil"/>
              <w:bottom w:val="nil"/>
              <w:right w:val="nil"/>
            </w:tcBorders>
            <w:shd w:val="clear" w:color="auto" w:fill="auto"/>
            <w:vAlign w:val="bottom"/>
          </w:tcPr>
          <w:p w14:paraId="43370C7A" w14:textId="77777777" w:rsidR="006E4B3A" w:rsidRPr="00A03CB5" w:rsidRDefault="006E4B3A">
            <w:pPr>
              <w:spacing w:line="240" w:lineRule="auto"/>
              <w:rPr>
                <w:rFonts w:ascii="Times New Roman" w:eastAsia="Times New Roman" w:hAnsi="Times New Roman" w:cs="Times New Roman"/>
                <w:sz w:val="24"/>
                <w:szCs w:val="24"/>
              </w:rPr>
            </w:pPr>
          </w:p>
        </w:tc>
        <w:tc>
          <w:tcPr>
            <w:tcW w:w="1666" w:type="dxa"/>
            <w:tcBorders>
              <w:top w:val="nil"/>
              <w:left w:val="nil"/>
              <w:bottom w:val="nil"/>
              <w:right w:val="nil"/>
            </w:tcBorders>
            <w:shd w:val="clear" w:color="auto" w:fill="auto"/>
            <w:vAlign w:val="bottom"/>
          </w:tcPr>
          <w:p w14:paraId="31E67E76"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506" w:type="dxa"/>
            <w:tcBorders>
              <w:top w:val="nil"/>
              <w:left w:val="nil"/>
              <w:bottom w:val="nil"/>
              <w:right w:val="nil"/>
            </w:tcBorders>
            <w:shd w:val="clear" w:color="auto" w:fill="auto"/>
            <w:vAlign w:val="bottom"/>
          </w:tcPr>
          <w:p w14:paraId="728E3C0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328" w:type="dxa"/>
            <w:tcBorders>
              <w:top w:val="nil"/>
              <w:left w:val="nil"/>
              <w:bottom w:val="nil"/>
              <w:right w:val="nil"/>
            </w:tcBorders>
            <w:shd w:val="clear" w:color="auto" w:fill="auto"/>
            <w:vAlign w:val="bottom"/>
          </w:tcPr>
          <w:p w14:paraId="55A287A0"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478D8E62" w14:textId="77777777">
        <w:trPr>
          <w:trHeight w:val="320"/>
        </w:trPr>
        <w:tc>
          <w:tcPr>
            <w:tcW w:w="4860" w:type="dxa"/>
            <w:tcBorders>
              <w:top w:val="nil"/>
              <w:left w:val="nil"/>
              <w:bottom w:val="single" w:sz="4" w:space="0" w:color="000000"/>
              <w:right w:val="nil"/>
            </w:tcBorders>
            <w:shd w:val="clear" w:color="auto" w:fill="auto"/>
            <w:vAlign w:val="bottom"/>
          </w:tcPr>
          <w:p w14:paraId="666A0A84"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Sex at birth</w:t>
            </w:r>
          </w:p>
        </w:tc>
        <w:tc>
          <w:tcPr>
            <w:tcW w:w="1666" w:type="dxa"/>
            <w:tcBorders>
              <w:top w:val="nil"/>
              <w:left w:val="nil"/>
              <w:bottom w:val="single" w:sz="4" w:space="0" w:color="000000"/>
              <w:right w:val="nil"/>
            </w:tcBorders>
            <w:shd w:val="clear" w:color="auto" w:fill="auto"/>
            <w:vAlign w:val="bottom"/>
          </w:tcPr>
          <w:p w14:paraId="0D22527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n</w:t>
            </w:r>
          </w:p>
        </w:tc>
        <w:tc>
          <w:tcPr>
            <w:tcW w:w="1506" w:type="dxa"/>
            <w:tcBorders>
              <w:top w:val="nil"/>
              <w:left w:val="nil"/>
              <w:bottom w:val="single" w:sz="4" w:space="0" w:color="000000"/>
              <w:right w:val="nil"/>
            </w:tcBorders>
            <w:shd w:val="clear" w:color="auto" w:fill="auto"/>
            <w:vAlign w:val="bottom"/>
          </w:tcPr>
          <w:p w14:paraId="78C2FB1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w:t>
            </w:r>
          </w:p>
        </w:tc>
        <w:tc>
          <w:tcPr>
            <w:tcW w:w="1328" w:type="dxa"/>
            <w:tcBorders>
              <w:top w:val="nil"/>
              <w:left w:val="nil"/>
              <w:bottom w:val="nil"/>
              <w:right w:val="nil"/>
            </w:tcBorders>
            <w:shd w:val="clear" w:color="auto" w:fill="auto"/>
            <w:vAlign w:val="bottom"/>
          </w:tcPr>
          <w:p w14:paraId="6B26B8D4"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3684B9BE" w14:textId="77777777">
        <w:trPr>
          <w:trHeight w:val="320"/>
        </w:trPr>
        <w:tc>
          <w:tcPr>
            <w:tcW w:w="4860" w:type="dxa"/>
            <w:tcBorders>
              <w:top w:val="single" w:sz="4" w:space="0" w:color="000000"/>
              <w:left w:val="nil"/>
              <w:bottom w:val="nil"/>
              <w:right w:val="nil"/>
            </w:tcBorders>
            <w:shd w:val="clear" w:color="auto" w:fill="auto"/>
            <w:vAlign w:val="bottom"/>
          </w:tcPr>
          <w:p w14:paraId="1C9C18B3"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Male</w:t>
            </w:r>
          </w:p>
        </w:tc>
        <w:tc>
          <w:tcPr>
            <w:tcW w:w="1666" w:type="dxa"/>
            <w:tcBorders>
              <w:top w:val="single" w:sz="4" w:space="0" w:color="000000"/>
              <w:left w:val="nil"/>
              <w:bottom w:val="nil"/>
              <w:right w:val="nil"/>
            </w:tcBorders>
            <w:shd w:val="clear" w:color="auto" w:fill="auto"/>
            <w:vAlign w:val="bottom"/>
          </w:tcPr>
          <w:p w14:paraId="2B6C4F5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57</w:t>
            </w:r>
          </w:p>
        </w:tc>
        <w:tc>
          <w:tcPr>
            <w:tcW w:w="1506" w:type="dxa"/>
            <w:tcBorders>
              <w:top w:val="single" w:sz="4" w:space="0" w:color="000000"/>
              <w:left w:val="nil"/>
              <w:bottom w:val="nil"/>
              <w:right w:val="nil"/>
            </w:tcBorders>
            <w:shd w:val="clear" w:color="auto" w:fill="auto"/>
            <w:vAlign w:val="bottom"/>
          </w:tcPr>
          <w:p w14:paraId="752D6F6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37.3</w:t>
            </w:r>
          </w:p>
        </w:tc>
        <w:tc>
          <w:tcPr>
            <w:tcW w:w="1328" w:type="dxa"/>
            <w:tcBorders>
              <w:top w:val="nil"/>
              <w:left w:val="nil"/>
              <w:bottom w:val="nil"/>
              <w:right w:val="nil"/>
            </w:tcBorders>
            <w:shd w:val="clear" w:color="auto" w:fill="auto"/>
            <w:vAlign w:val="bottom"/>
          </w:tcPr>
          <w:p w14:paraId="6B18EE8E"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5BFD9B4E" w14:textId="77777777">
        <w:trPr>
          <w:trHeight w:val="320"/>
        </w:trPr>
        <w:tc>
          <w:tcPr>
            <w:tcW w:w="4860" w:type="dxa"/>
            <w:tcBorders>
              <w:top w:val="nil"/>
              <w:left w:val="nil"/>
              <w:bottom w:val="nil"/>
              <w:right w:val="nil"/>
            </w:tcBorders>
            <w:shd w:val="clear" w:color="auto" w:fill="auto"/>
            <w:vAlign w:val="bottom"/>
          </w:tcPr>
          <w:p w14:paraId="1CD6871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Female</w:t>
            </w:r>
          </w:p>
        </w:tc>
        <w:tc>
          <w:tcPr>
            <w:tcW w:w="1666" w:type="dxa"/>
            <w:tcBorders>
              <w:top w:val="nil"/>
              <w:left w:val="nil"/>
              <w:bottom w:val="nil"/>
              <w:right w:val="nil"/>
            </w:tcBorders>
            <w:shd w:val="clear" w:color="auto" w:fill="auto"/>
            <w:vAlign w:val="bottom"/>
          </w:tcPr>
          <w:p w14:paraId="6D0A3C3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96</w:t>
            </w:r>
          </w:p>
        </w:tc>
        <w:tc>
          <w:tcPr>
            <w:tcW w:w="1506" w:type="dxa"/>
            <w:tcBorders>
              <w:top w:val="nil"/>
              <w:left w:val="nil"/>
              <w:bottom w:val="nil"/>
              <w:right w:val="nil"/>
            </w:tcBorders>
            <w:shd w:val="clear" w:color="auto" w:fill="auto"/>
            <w:vAlign w:val="bottom"/>
          </w:tcPr>
          <w:p w14:paraId="3CB63F7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62.7</w:t>
            </w:r>
          </w:p>
        </w:tc>
        <w:tc>
          <w:tcPr>
            <w:tcW w:w="1328" w:type="dxa"/>
            <w:tcBorders>
              <w:top w:val="nil"/>
              <w:left w:val="nil"/>
              <w:bottom w:val="nil"/>
              <w:right w:val="nil"/>
            </w:tcBorders>
            <w:shd w:val="clear" w:color="auto" w:fill="auto"/>
            <w:vAlign w:val="bottom"/>
          </w:tcPr>
          <w:p w14:paraId="36AE68F7"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2947A6FD" w14:textId="77777777">
        <w:trPr>
          <w:trHeight w:val="320"/>
        </w:trPr>
        <w:tc>
          <w:tcPr>
            <w:tcW w:w="4860" w:type="dxa"/>
            <w:tcBorders>
              <w:top w:val="nil"/>
              <w:left w:val="nil"/>
              <w:bottom w:val="nil"/>
              <w:right w:val="nil"/>
            </w:tcBorders>
            <w:shd w:val="clear" w:color="auto" w:fill="auto"/>
            <w:vAlign w:val="bottom"/>
          </w:tcPr>
          <w:p w14:paraId="2B3BD56E" w14:textId="77777777" w:rsidR="006E4B3A" w:rsidRPr="00A03CB5" w:rsidRDefault="006E4B3A">
            <w:pPr>
              <w:spacing w:line="240" w:lineRule="auto"/>
              <w:rPr>
                <w:rFonts w:ascii="Times New Roman" w:eastAsia="Times New Roman" w:hAnsi="Times New Roman" w:cs="Times New Roman"/>
                <w:sz w:val="24"/>
                <w:szCs w:val="24"/>
              </w:rPr>
            </w:pPr>
          </w:p>
        </w:tc>
        <w:tc>
          <w:tcPr>
            <w:tcW w:w="1666" w:type="dxa"/>
            <w:tcBorders>
              <w:top w:val="nil"/>
              <w:left w:val="nil"/>
              <w:bottom w:val="nil"/>
              <w:right w:val="nil"/>
            </w:tcBorders>
            <w:shd w:val="clear" w:color="auto" w:fill="auto"/>
            <w:vAlign w:val="bottom"/>
          </w:tcPr>
          <w:p w14:paraId="3177AB7D"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506" w:type="dxa"/>
            <w:tcBorders>
              <w:top w:val="nil"/>
              <w:left w:val="nil"/>
              <w:bottom w:val="nil"/>
              <w:right w:val="nil"/>
            </w:tcBorders>
            <w:shd w:val="clear" w:color="auto" w:fill="auto"/>
            <w:vAlign w:val="bottom"/>
          </w:tcPr>
          <w:p w14:paraId="56FA9BA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328" w:type="dxa"/>
            <w:tcBorders>
              <w:top w:val="nil"/>
              <w:left w:val="nil"/>
              <w:right w:val="nil"/>
            </w:tcBorders>
            <w:shd w:val="clear" w:color="auto" w:fill="auto"/>
            <w:vAlign w:val="bottom"/>
          </w:tcPr>
          <w:p w14:paraId="6732F757"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0E0B27E2" w14:textId="77777777">
        <w:trPr>
          <w:trHeight w:val="320"/>
        </w:trPr>
        <w:tc>
          <w:tcPr>
            <w:tcW w:w="4860" w:type="dxa"/>
            <w:tcBorders>
              <w:top w:val="nil"/>
              <w:left w:val="nil"/>
              <w:bottom w:val="single" w:sz="4" w:space="0" w:color="000000"/>
              <w:right w:val="nil"/>
            </w:tcBorders>
            <w:shd w:val="clear" w:color="auto" w:fill="auto"/>
            <w:vAlign w:val="bottom"/>
          </w:tcPr>
          <w:p w14:paraId="3CDDFE5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Race and ethnicity</w:t>
            </w:r>
            <w:r w:rsidRPr="00A03CB5">
              <w:rPr>
                <w:rFonts w:ascii="Times New Roman" w:eastAsia="Times New Roman" w:hAnsi="Times New Roman" w:cs="Times New Roman"/>
                <w:sz w:val="24"/>
                <w:szCs w:val="24"/>
                <w:vertAlign w:val="superscript"/>
              </w:rPr>
              <w:t>1</w:t>
            </w:r>
          </w:p>
        </w:tc>
        <w:tc>
          <w:tcPr>
            <w:tcW w:w="1666" w:type="dxa"/>
            <w:tcBorders>
              <w:top w:val="nil"/>
              <w:left w:val="nil"/>
              <w:bottom w:val="single" w:sz="4" w:space="0" w:color="000000"/>
              <w:right w:val="nil"/>
            </w:tcBorders>
            <w:shd w:val="clear" w:color="auto" w:fill="auto"/>
            <w:vAlign w:val="bottom"/>
          </w:tcPr>
          <w:p w14:paraId="2B7345E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n</w:t>
            </w:r>
          </w:p>
        </w:tc>
        <w:tc>
          <w:tcPr>
            <w:tcW w:w="1506" w:type="dxa"/>
            <w:tcBorders>
              <w:top w:val="nil"/>
              <w:left w:val="nil"/>
              <w:bottom w:val="single" w:sz="4" w:space="0" w:color="000000"/>
              <w:right w:val="nil"/>
            </w:tcBorders>
            <w:shd w:val="clear" w:color="auto" w:fill="auto"/>
            <w:vAlign w:val="bottom"/>
          </w:tcPr>
          <w:p w14:paraId="004E1AF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w:t>
            </w:r>
          </w:p>
        </w:tc>
        <w:tc>
          <w:tcPr>
            <w:tcW w:w="1328" w:type="dxa"/>
            <w:tcBorders>
              <w:top w:val="nil"/>
              <w:left w:val="nil"/>
              <w:right w:val="nil"/>
            </w:tcBorders>
            <w:shd w:val="clear" w:color="auto" w:fill="auto"/>
            <w:vAlign w:val="bottom"/>
          </w:tcPr>
          <w:p w14:paraId="4F6C6FD5"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4598A724" w14:textId="77777777">
        <w:trPr>
          <w:trHeight w:val="320"/>
        </w:trPr>
        <w:tc>
          <w:tcPr>
            <w:tcW w:w="4860" w:type="dxa"/>
            <w:tcBorders>
              <w:top w:val="single" w:sz="4" w:space="0" w:color="000000"/>
              <w:left w:val="nil"/>
              <w:bottom w:val="nil"/>
              <w:right w:val="nil"/>
            </w:tcBorders>
            <w:shd w:val="clear" w:color="auto" w:fill="auto"/>
            <w:vAlign w:val="bottom"/>
          </w:tcPr>
          <w:p w14:paraId="5D05C15F"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White</w:t>
            </w:r>
          </w:p>
        </w:tc>
        <w:tc>
          <w:tcPr>
            <w:tcW w:w="1666" w:type="dxa"/>
            <w:tcBorders>
              <w:top w:val="single" w:sz="4" w:space="0" w:color="000000"/>
              <w:left w:val="nil"/>
              <w:bottom w:val="nil"/>
              <w:right w:val="nil"/>
            </w:tcBorders>
            <w:shd w:val="clear" w:color="auto" w:fill="auto"/>
            <w:vAlign w:val="bottom"/>
          </w:tcPr>
          <w:p w14:paraId="40D8432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82</w:t>
            </w:r>
          </w:p>
        </w:tc>
        <w:tc>
          <w:tcPr>
            <w:tcW w:w="1506" w:type="dxa"/>
            <w:tcBorders>
              <w:top w:val="single" w:sz="4" w:space="0" w:color="000000"/>
              <w:left w:val="nil"/>
              <w:bottom w:val="nil"/>
              <w:right w:val="nil"/>
            </w:tcBorders>
            <w:shd w:val="clear" w:color="auto" w:fill="auto"/>
            <w:vAlign w:val="bottom"/>
          </w:tcPr>
          <w:p w14:paraId="43955A1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53.6</w:t>
            </w:r>
          </w:p>
        </w:tc>
        <w:tc>
          <w:tcPr>
            <w:tcW w:w="1328" w:type="dxa"/>
            <w:tcBorders>
              <w:left w:val="nil"/>
              <w:bottom w:val="nil"/>
              <w:right w:val="nil"/>
            </w:tcBorders>
            <w:shd w:val="clear" w:color="auto" w:fill="auto"/>
            <w:vAlign w:val="bottom"/>
          </w:tcPr>
          <w:p w14:paraId="53AD9778"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7632675E" w14:textId="77777777">
        <w:trPr>
          <w:trHeight w:val="320"/>
        </w:trPr>
        <w:tc>
          <w:tcPr>
            <w:tcW w:w="4860" w:type="dxa"/>
            <w:tcBorders>
              <w:top w:val="nil"/>
              <w:left w:val="nil"/>
              <w:bottom w:val="nil"/>
              <w:right w:val="nil"/>
            </w:tcBorders>
            <w:shd w:val="clear" w:color="auto" w:fill="auto"/>
            <w:vAlign w:val="bottom"/>
          </w:tcPr>
          <w:p w14:paraId="0C50F40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Hispanic or Latino</w:t>
            </w:r>
          </w:p>
        </w:tc>
        <w:tc>
          <w:tcPr>
            <w:tcW w:w="1666" w:type="dxa"/>
            <w:tcBorders>
              <w:top w:val="nil"/>
              <w:left w:val="nil"/>
              <w:bottom w:val="nil"/>
              <w:right w:val="nil"/>
            </w:tcBorders>
            <w:shd w:val="clear" w:color="auto" w:fill="auto"/>
            <w:vAlign w:val="bottom"/>
          </w:tcPr>
          <w:p w14:paraId="18AEBC9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24</w:t>
            </w:r>
          </w:p>
        </w:tc>
        <w:tc>
          <w:tcPr>
            <w:tcW w:w="1506" w:type="dxa"/>
            <w:tcBorders>
              <w:top w:val="nil"/>
              <w:left w:val="nil"/>
              <w:bottom w:val="nil"/>
              <w:right w:val="nil"/>
            </w:tcBorders>
            <w:shd w:val="clear" w:color="auto" w:fill="auto"/>
            <w:vAlign w:val="bottom"/>
          </w:tcPr>
          <w:p w14:paraId="02858CA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15.7</w:t>
            </w:r>
          </w:p>
        </w:tc>
        <w:tc>
          <w:tcPr>
            <w:tcW w:w="1328" w:type="dxa"/>
            <w:tcBorders>
              <w:top w:val="nil"/>
              <w:left w:val="nil"/>
              <w:bottom w:val="nil"/>
              <w:right w:val="nil"/>
            </w:tcBorders>
            <w:shd w:val="clear" w:color="auto" w:fill="auto"/>
            <w:vAlign w:val="bottom"/>
          </w:tcPr>
          <w:p w14:paraId="5870B090"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68A82EE2" w14:textId="77777777">
        <w:trPr>
          <w:trHeight w:val="320"/>
        </w:trPr>
        <w:tc>
          <w:tcPr>
            <w:tcW w:w="4860" w:type="dxa"/>
            <w:tcBorders>
              <w:top w:val="nil"/>
              <w:left w:val="nil"/>
              <w:bottom w:val="nil"/>
              <w:right w:val="nil"/>
            </w:tcBorders>
            <w:shd w:val="clear" w:color="auto" w:fill="auto"/>
            <w:vAlign w:val="bottom"/>
          </w:tcPr>
          <w:p w14:paraId="06B476F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Black </w:t>
            </w:r>
          </w:p>
        </w:tc>
        <w:tc>
          <w:tcPr>
            <w:tcW w:w="1666" w:type="dxa"/>
            <w:tcBorders>
              <w:top w:val="nil"/>
              <w:left w:val="nil"/>
              <w:bottom w:val="nil"/>
              <w:right w:val="nil"/>
            </w:tcBorders>
            <w:shd w:val="clear" w:color="auto" w:fill="auto"/>
            <w:vAlign w:val="bottom"/>
          </w:tcPr>
          <w:p w14:paraId="54439D5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23</w:t>
            </w:r>
          </w:p>
        </w:tc>
        <w:tc>
          <w:tcPr>
            <w:tcW w:w="1506" w:type="dxa"/>
            <w:tcBorders>
              <w:top w:val="nil"/>
              <w:left w:val="nil"/>
              <w:bottom w:val="nil"/>
              <w:right w:val="nil"/>
            </w:tcBorders>
            <w:shd w:val="clear" w:color="auto" w:fill="auto"/>
            <w:vAlign w:val="bottom"/>
          </w:tcPr>
          <w:p w14:paraId="40F80FB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15</w:t>
            </w:r>
          </w:p>
        </w:tc>
        <w:tc>
          <w:tcPr>
            <w:tcW w:w="1328" w:type="dxa"/>
            <w:tcBorders>
              <w:top w:val="nil"/>
              <w:left w:val="nil"/>
              <w:bottom w:val="nil"/>
              <w:right w:val="nil"/>
            </w:tcBorders>
            <w:shd w:val="clear" w:color="auto" w:fill="auto"/>
            <w:vAlign w:val="bottom"/>
          </w:tcPr>
          <w:p w14:paraId="0780862D"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4514E78A" w14:textId="77777777">
        <w:trPr>
          <w:trHeight w:val="320"/>
        </w:trPr>
        <w:tc>
          <w:tcPr>
            <w:tcW w:w="4860" w:type="dxa"/>
            <w:tcBorders>
              <w:top w:val="nil"/>
              <w:left w:val="nil"/>
              <w:bottom w:val="nil"/>
              <w:right w:val="nil"/>
            </w:tcBorders>
            <w:shd w:val="clear" w:color="auto" w:fill="auto"/>
            <w:vAlign w:val="bottom"/>
          </w:tcPr>
          <w:p w14:paraId="171B795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Asian</w:t>
            </w:r>
          </w:p>
        </w:tc>
        <w:tc>
          <w:tcPr>
            <w:tcW w:w="1666" w:type="dxa"/>
            <w:tcBorders>
              <w:top w:val="nil"/>
              <w:left w:val="nil"/>
              <w:bottom w:val="nil"/>
              <w:right w:val="nil"/>
            </w:tcBorders>
            <w:shd w:val="clear" w:color="auto" w:fill="auto"/>
            <w:vAlign w:val="bottom"/>
          </w:tcPr>
          <w:p w14:paraId="140A749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41</w:t>
            </w:r>
          </w:p>
        </w:tc>
        <w:tc>
          <w:tcPr>
            <w:tcW w:w="1506" w:type="dxa"/>
            <w:tcBorders>
              <w:top w:val="nil"/>
              <w:left w:val="nil"/>
              <w:bottom w:val="nil"/>
              <w:right w:val="nil"/>
            </w:tcBorders>
            <w:shd w:val="clear" w:color="auto" w:fill="auto"/>
            <w:vAlign w:val="bottom"/>
          </w:tcPr>
          <w:p w14:paraId="7026AB7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26.8</w:t>
            </w:r>
          </w:p>
        </w:tc>
        <w:tc>
          <w:tcPr>
            <w:tcW w:w="1328" w:type="dxa"/>
            <w:tcBorders>
              <w:top w:val="nil"/>
              <w:left w:val="nil"/>
              <w:bottom w:val="nil"/>
              <w:right w:val="nil"/>
            </w:tcBorders>
            <w:shd w:val="clear" w:color="auto" w:fill="auto"/>
            <w:vAlign w:val="bottom"/>
          </w:tcPr>
          <w:p w14:paraId="168D4821"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6166839D" w14:textId="77777777">
        <w:trPr>
          <w:trHeight w:val="320"/>
        </w:trPr>
        <w:tc>
          <w:tcPr>
            <w:tcW w:w="4860" w:type="dxa"/>
            <w:tcBorders>
              <w:top w:val="nil"/>
              <w:left w:val="nil"/>
              <w:bottom w:val="nil"/>
              <w:right w:val="nil"/>
            </w:tcBorders>
            <w:shd w:val="clear" w:color="auto" w:fill="auto"/>
            <w:vAlign w:val="bottom"/>
          </w:tcPr>
          <w:p w14:paraId="4E0372E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American Indian or Alaskan Native</w:t>
            </w:r>
          </w:p>
        </w:tc>
        <w:tc>
          <w:tcPr>
            <w:tcW w:w="1666" w:type="dxa"/>
            <w:tcBorders>
              <w:top w:val="nil"/>
              <w:left w:val="nil"/>
              <w:bottom w:val="nil"/>
              <w:right w:val="nil"/>
            </w:tcBorders>
            <w:shd w:val="clear" w:color="auto" w:fill="auto"/>
            <w:vAlign w:val="bottom"/>
          </w:tcPr>
          <w:p w14:paraId="755BAC4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w:t>
            </w:r>
          </w:p>
        </w:tc>
        <w:tc>
          <w:tcPr>
            <w:tcW w:w="1506" w:type="dxa"/>
            <w:tcBorders>
              <w:top w:val="nil"/>
              <w:left w:val="nil"/>
              <w:bottom w:val="nil"/>
              <w:right w:val="nil"/>
            </w:tcBorders>
            <w:shd w:val="clear" w:color="auto" w:fill="auto"/>
            <w:vAlign w:val="bottom"/>
          </w:tcPr>
          <w:p w14:paraId="58EC3D7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1.3</w:t>
            </w:r>
          </w:p>
        </w:tc>
        <w:tc>
          <w:tcPr>
            <w:tcW w:w="1328" w:type="dxa"/>
            <w:tcBorders>
              <w:top w:val="nil"/>
              <w:left w:val="nil"/>
              <w:bottom w:val="nil"/>
              <w:right w:val="nil"/>
            </w:tcBorders>
            <w:shd w:val="clear" w:color="auto" w:fill="auto"/>
            <w:vAlign w:val="bottom"/>
          </w:tcPr>
          <w:p w14:paraId="79FFB242"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4AA883C8" w14:textId="77777777">
        <w:trPr>
          <w:trHeight w:val="320"/>
        </w:trPr>
        <w:tc>
          <w:tcPr>
            <w:tcW w:w="4860" w:type="dxa"/>
            <w:tcBorders>
              <w:top w:val="nil"/>
              <w:left w:val="nil"/>
              <w:bottom w:val="nil"/>
              <w:right w:val="nil"/>
            </w:tcBorders>
            <w:shd w:val="clear" w:color="auto" w:fill="auto"/>
            <w:vAlign w:val="bottom"/>
          </w:tcPr>
          <w:p w14:paraId="34D3FE9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Middle Eastern or North African</w:t>
            </w:r>
          </w:p>
        </w:tc>
        <w:tc>
          <w:tcPr>
            <w:tcW w:w="1666" w:type="dxa"/>
            <w:tcBorders>
              <w:top w:val="nil"/>
              <w:left w:val="nil"/>
              <w:bottom w:val="nil"/>
              <w:right w:val="nil"/>
            </w:tcBorders>
            <w:shd w:val="clear" w:color="auto" w:fill="auto"/>
            <w:vAlign w:val="bottom"/>
          </w:tcPr>
          <w:p w14:paraId="43DBD26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w:t>
            </w:r>
          </w:p>
        </w:tc>
        <w:tc>
          <w:tcPr>
            <w:tcW w:w="1506" w:type="dxa"/>
            <w:tcBorders>
              <w:top w:val="nil"/>
              <w:left w:val="nil"/>
              <w:bottom w:val="nil"/>
              <w:right w:val="nil"/>
            </w:tcBorders>
            <w:shd w:val="clear" w:color="auto" w:fill="auto"/>
            <w:vAlign w:val="bottom"/>
          </w:tcPr>
          <w:p w14:paraId="6323C5E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0.7</w:t>
            </w:r>
          </w:p>
        </w:tc>
        <w:tc>
          <w:tcPr>
            <w:tcW w:w="1328" w:type="dxa"/>
            <w:tcBorders>
              <w:top w:val="nil"/>
              <w:left w:val="nil"/>
              <w:bottom w:val="nil"/>
              <w:right w:val="nil"/>
            </w:tcBorders>
            <w:shd w:val="clear" w:color="auto" w:fill="auto"/>
            <w:vAlign w:val="bottom"/>
          </w:tcPr>
          <w:p w14:paraId="6E6C4539"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65521734" w14:textId="77777777">
        <w:trPr>
          <w:trHeight w:val="320"/>
        </w:trPr>
        <w:tc>
          <w:tcPr>
            <w:tcW w:w="4860" w:type="dxa"/>
            <w:tcBorders>
              <w:top w:val="nil"/>
              <w:left w:val="nil"/>
              <w:bottom w:val="nil"/>
              <w:right w:val="nil"/>
            </w:tcBorders>
            <w:shd w:val="clear" w:color="auto" w:fill="auto"/>
            <w:vAlign w:val="bottom"/>
          </w:tcPr>
          <w:p w14:paraId="3DD4750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Native Hawaiian or Pacific Islander</w:t>
            </w:r>
          </w:p>
        </w:tc>
        <w:tc>
          <w:tcPr>
            <w:tcW w:w="1666" w:type="dxa"/>
            <w:tcBorders>
              <w:top w:val="nil"/>
              <w:left w:val="nil"/>
              <w:bottom w:val="nil"/>
              <w:right w:val="nil"/>
            </w:tcBorders>
            <w:shd w:val="clear" w:color="auto" w:fill="auto"/>
            <w:vAlign w:val="bottom"/>
          </w:tcPr>
          <w:p w14:paraId="1A9AAAE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w:t>
            </w:r>
          </w:p>
        </w:tc>
        <w:tc>
          <w:tcPr>
            <w:tcW w:w="1506" w:type="dxa"/>
            <w:tcBorders>
              <w:top w:val="nil"/>
              <w:left w:val="nil"/>
              <w:bottom w:val="nil"/>
              <w:right w:val="nil"/>
            </w:tcBorders>
            <w:shd w:val="clear" w:color="auto" w:fill="auto"/>
            <w:vAlign w:val="bottom"/>
          </w:tcPr>
          <w:p w14:paraId="3A9AD7C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0.7</w:t>
            </w:r>
          </w:p>
        </w:tc>
        <w:tc>
          <w:tcPr>
            <w:tcW w:w="1328" w:type="dxa"/>
            <w:tcBorders>
              <w:top w:val="nil"/>
              <w:left w:val="nil"/>
              <w:bottom w:val="nil"/>
              <w:right w:val="nil"/>
            </w:tcBorders>
            <w:shd w:val="clear" w:color="auto" w:fill="auto"/>
            <w:vAlign w:val="bottom"/>
          </w:tcPr>
          <w:p w14:paraId="6153C24E"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7E6740E6" w14:textId="77777777">
        <w:trPr>
          <w:trHeight w:val="320"/>
        </w:trPr>
        <w:tc>
          <w:tcPr>
            <w:tcW w:w="4860" w:type="dxa"/>
            <w:tcBorders>
              <w:top w:val="nil"/>
              <w:left w:val="nil"/>
              <w:bottom w:val="single" w:sz="4" w:space="0" w:color="000000"/>
              <w:right w:val="nil"/>
            </w:tcBorders>
            <w:shd w:val="clear" w:color="auto" w:fill="auto"/>
            <w:vAlign w:val="bottom"/>
          </w:tcPr>
          <w:p w14:paraId="1951232C"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Unknown or declined to report</w:t>
            </w:r>
          </w:p>
        </w:tc>
        <w:tc>
          <w:tcPr>
            <w:tcW w:w="1666" w:type="dxa"/>
            <w:tcBorders>
              <w:top w:val="nil"/>
              <w:left w:val="nil"/>
              <w:bottom w:val="single" w:sz="4" w:space="0" w:color="000000"/>
              <w:right w:val="nil"/>
            </w:tcBorders>
            <w:shd w:val="clear" w:color="auto" w:fill="auto"/>
            <w:vAlign w:val="bottom"/>
          </w:tcPr>
          <w:p w14:paraId="58BF1D6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w:t>
            </w:r>
          </w:p>
        </w:tc>
        <w:tc>
          <w:tcPr>
            <w:tcW w:w="1506" w:type="dxa"/>
            <w:tcBorders>
              <w:top w:val="nil"/>
              <w:left w:val="nil"/>
              <w:bottom w:val="single" w:sz="4" w:space="0" w:color="000000"/>
              <w:right w:val="nil"/>
            </w:tcBorders>
            <w:shd w:val="clear" w:color="auto" w:fill="auto"/>
            <w:vAlign w:val="bottom"/>
          </w:tcPr>
          <w:p w14:paraId="36D90BF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1.3</w:t>
            </w:r>
          </w:p>
        </w:tc>
        <w:tc>
          <w:tcPr>
            <w:tcW w:w="1328" w:type="dxa"/>
            <w:tcBorders>
              <w:top w:val="nil"/>
              <w:left w:val="nil"/>
              <w:bottom w:val="single" w:sz="4" w:space="0" w:color="000000"/>
              <w:right w:val="nil"/>
            </w:tcBorders>
            <w:shd w:val="clear" w:color="auto" w:fill="auto"/>
            <w:vAlign w:val="bottom"/>
          </w:tcPr>
          <w:p w14:paraId="3FAD8229"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6CF93D3E" w14:textId="77777777">
        <w:trPr>
          <w:trHeight w:val="320"/>
        </w:trPr>
        <w:tc>
          <w:tcPr>
            <w:tcW w:w="9360" w:type="dxa"/>
            <w:gridSpan w:val="4"/>
            <w:tcBorders>
              <w:top w:val="single" w:sz="4" w:space="0" w:color="000000"/>
              <w:left w:val="nil"/>
              <w:bottom w:val="nil"/>
              <w:right w:val="nil"/>
            </w:tcBorders>
            <w:shd w:val="clear" w:color="auto" w:fill="auto"/>
            <w:vAlign w:val="bottom"/>
          </w:tcPr>
          <w:p w14:paraId="5A31A7DF"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Note</w:t>
            </w:r>
            <w:r w:rsidRPr="00A03CB5">
              <w:rPr>
                <w:rFonts w:ascii="Times New Roman" w:eastAsia="Times New Roman" w:hAnsi="Times New Roman" w:cs="Times New Roman"/>
                <w:sz w:val="24"/>
                <w:szCs w:val="24"/>
              </w:rPr>
              <w:t xml:space="preserve">. Eating disorder and food addiction diagnoses were based on the Eating Disorder Diagnostic Scale and Modified Yale Food Addiction Scale 2.0 at screening. </w:t>
            </w:r>
          </w:p>
          <w:p w14:paraId="3E01FAA4"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vertAlign w:val="superscript"/>
              </w:rPr>
              <w:t xml:space="preserve">1 </w:t>
            </w:r>
            <w:r w:rsidRPr="00A03CB5">
              <w:rPr>
                <w:rFonts w:ascii="Times New Roman" w:eastAsia="Times New Roman" w:hAnsi="Times New Roman" w:cs="Times New Roman"/>
                <w:sz w:val="24"/>
                <w:szCs w:val="24"/>
              </w:rPr>
              <w:t>Participants could identify as multiple races/ethnicities.</w:t>
            </w:r>
          </w:p>
        </w:tc>
      </w:tr>
    </w:tbl>
    <w:p w14:paraId="30AF614B" w14:textId="77777777" w:rsidR="006E4B3A" w:rsidRPr="00A03CB5" w:rsidRDefault="006E4B3A">
      <w:pPr>
        <w:spacing w:line="240" w:lineRule="auto"/>
        <w:rPr>
          <w:rFonts w:ascii="Times New Roman" w:eastAsia="Aptos" w:hAnsi="Times New Roman" w:cs="Times New Roman"/>
          <w:sz w:val="24"/>
          <w:szCs w:val="24"/>
        </w:rPr>
        <w:sectPr w:rsidR="006E4B3A" w:rsidRPr="00A03CB5">
          <w:headerReference w:type="default" r:id="rId22"/>
          <w:footerReference w:type="default" r:id="rId23"/>
          <w:headerReference w:type="first" r:id="rId24"/>
          <w:footerReference w:type="first" r:id="rId25"/>
          <w:pgSz w:w="12240" w:h="15840"/>
          <w:pgMar w:top="1440" w:right="1440" w:bottom="1440" w:left="1440" w:header="720" w:footer="720" w:gutter="0"/>
          <w:pgNumType w:start="1"/>
          <w:cols w:space="720"/>
          <w:titlePg/>
        </w:sectPr>
      </w:pPr>
    </w:p>
    <w:p w14:paraId="53345821" w14:textId="77777777" w:rsidR="006E4B3A" w:rsidRPr="00A03CB5" w:rsidRDefault="006E4B3A">
      <w:pPr>
        <w:widowControl w:val="0"/>
        <w:rPr>
          <w:rFonts w:ascii="Times New Roman" w:eastAsia="Aptos" w:hAnsi="Times New Roman" w:cs="Times New Roman"/>
          <w:sz w:val="24"/>
          <w:szCs w:val="24"/>
        </w:rPr>
      </w:pPr>
    </w:p>
    <w:tbl>
      <w:tblPr>
        <w:tblStyle w:val="a1"/>
        <w:tblW w:w="10840" w:type="dxa"/>
        <w:tblLayout w:type="fixed"/>
        <w:tblLook w:val="0400" w:firstRow="0" w:lastRow="0" w:firstColumn="0" w:lastColumn="0" w:noHBand="0" w:noVBand="1"/>
      </w:tblPr>
      <w:tblGrid>
        <w:gridCol w:w="3600"/>
        <w:gridCol w:w="980"/>
        <w:gridCol w:w="900"/>
        <w:gridCol w:w="760"/>
        <w:gridCol w:w="980"/>
        <w:gridCol w:w="980"/>
        <w:gridCol w:w="680"/>
        <w:gridCol w:w="980"/>
        <w:gridCol w:w="980"/>
      </w:tblGrid>
      <w:tr w:rsidR="006E4B3A" w:rsidRPr="00A03CB5" w14:paraId="3943263E" w14:textId="77777777">
        <w:trPr>
          <w:trHeight w:val="320"/>
        </w:trPr>
        <w:tc>
          <w:tcPr>
            <w:tcW w:w="10840" w:type="dxa"/>
            <w:gridSpan w:val="9"/>
            <w:tcBorders>
              <w:top w:val="nil"/>
              <w:left w:val="nil"/>
              <w:bottom w:val="single" w:sz="4" w:space="0" w:color="000000"/>
              <w:right w:val="nil"/>
            </w:tcBorders>
            <w:shd w:val="clear" w:color="auto" w:fill="auto"/>
            <w:vAlign w:val="bottom"/>
          </w:tcPr>
          <w:p w14:paraId="1A25DAAF"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Table 3. Descriptive statistics </w:t>
            </w:r>
          </w:p>
        </w:tc>
      </w:tr>
      <w:tr w:rsidR="006E4B3A" w:rsidRPr="00A03CB5" w14:paraId="04679518" w14:textId="77777777">
        <w:trPr>
          <w:trHeight w:val="320"/>
        </w:trPr>
        <w:tc>
          <w:tcPr>
            <w:tcW w:w="3600" w:type="dxa"/>
            <w:tcBorders>
              <w:top w:val="single" w:sz="4" w:space="0" w:color="000000"/>
              <w:left w:val="nil"/>
              <w:bottom w:val="nil"/>
              <w:right w:val="nil"/>
            </w:tcBorders>
            <w:shd w:val="clear" w:color="auto" w:fill="auto"/>
            <w:vAlign w:val="bottom"/>
          </w:tcPr>
          <w:p w14:paraId="601EFAFA" w14:textId="77777777" w:rsidR="006E4B3A" w:rsidRPr="00A03CB5" w:rsidRDefault="006E4B3A">
            <w:pPr>
              <w:spacing w:line="240" w:lineRule="auto"/>
              <w:rPr>
                <w:rFonts w:ascii="Times New Roman" w:eastAsia="Times New Roman" w:hAnsi="Times New Roman" w:cs="Times New Roman"/>
                <w:sz w:val="24"/>
                <w:szCs w:val="24"/>
              </w:rPr>
            </w:pPr>
          </w:p>
        </w:tc>
        <w:tc>
          <w:tcPr>
            <w:tcW w:w="1880" w:type="dxa"/>
            <w:gridSpan w:val="2"/>
            <w:tcBorders>
              <w:top w:val="single" w:sz="4" w:space="0" w:color="000000"/>
              <w:left w:val="nil"/>
              <w:bottom w:val="nil"/>
              <w:right w:val="nil"/>
            </w:tcBorders>
            <w:shd w:val="clear" w:color="auto" w:fill="auto"/>
            <w:vAlign w:val="bottom"/>
          </w:tcPr>
          <w:p w14:paraId="1F8F3C9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Baseline</w:t>
            </w:r>
          </w:p>
        </w:tc>
        <w:tc>
          <w:tcPr>
            <w:tcW w:w="760" w:type="dxa"/>
            <w:tcBorders>
              <w:top w:val="single" w:sz="4" w:space="0" w:color="000000"/>
              <w:left w:val="nil"/>
              <w:bottom w:val="nil"/>
              <w:right w:val="nil"/>
            </w:tcBorders>
            <w:shd w:val="clear" w:color="auto" w:fill="auto"/>
            <w:vAlign w:val="bottom"/>
          </w:tcPr>
          <w:p w14:paraId="55141252"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960" w:type="dxa"/>
            <w:gridSpan w:val="2"/>
            <w:tcBorders>
              <w:top w:val="single" w:sz="4" w:space="0" w:color="000000"/>
              <w:left w:val="nil"/>
              <w:bottom w:val="nil"/>
              <w:right w:val="nil"/>
            </w:tcBorders>
            <w:shd w:val="clear" w:color="auto" w:fill="auto"/>
            <w:vAlign w:val="bottom"/>
          </w:tcPr>
          <w:p w14:paraId="7E0FA6B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3-month follow-up</w:t>
            </w:r>
          </w:p>
        </w:tc>
        <w:tc>
          <w:tcPr>
            <w:tcW w:w="680" w:type="dxa"/>
            <w:tcBorders>
              <w:top w:val="single" w:sz="4" w:space="0" w:color="000000"/>
              <w:left w:val="nil"/>
              <w:bottom w:val="nil"/>
              <w:right w:val="nil"/>
            </w:tcBorders>
            <w:shd w:val="clear" w:color="auto" w:fill="auto"/>
            <w:vAlign w:val="bottom"/>
          </w:tcPr>
          <w:p w14:paraId="397C570F"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960" w:type="dxa"/>
            <w:gridSpan w:val="2"/>
            <w:tcBorders>
              <w:top w:val="single" w:sz="4" w:space="0" w:color="000000"/>
              <w:left w:val="nil"/>
              <w:bottom w:val="nil"/>
              <w:right w:val="nil"/>
            </w:tcBorders>
            <w:shd w:val="clear" w:color="auto" w:fill="auto"/>
            <w:vAlign w:val="bottom"/>
          </w:tcPr>
          <w:p w14:paraId="7224AF5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6-month follow-up</w:t>
            </w:r>
          </w:p>
        </w:tc>
      </w:tr>
      <w:tr w:rsidR="006E4B3A" w:rsidRPr="00A03CB5" w14:paraId="16B54C3F" w14:textId="77777777">
        <w:trPr>
          <w:trHeight w:val="320"/>
        </w:trPr>
        <w:tc>
          <w:tcPr>
            <w:tcW w:w="3600" w:type="dxa"/>
            <w:tcBorders>
              <w:top w:val="nil"/>
              <w:left w:val="nil"/>
              <w:bottom w:val="nil"/>
              <w:right w:val="nil"/>
            </w:tcBorders>
            <w:shd w:val="clear" w:color="auto" w:fill="auto"/>
            <w:vAlign w:val="bottom"/>
          </w:tcPr>
          <w:p w14:paraId="14CF7032" w14:textId="77777777" w:rsidR="006E4B3A" w:rsidRPr="00A03CB5" w:rsidRDefault="006E4B3A">
            <w:pPr>
              <w:spacing w:line="240" w:lineRule="auto"/>
              <w:rPr>
                <w:rFonts w:ascii="Times New Roman" w:eastAsia="Times New Roman" w:hAnsi="Times New Roman" w:cs="Times New Roman"/>
                <w:sz w:val="24"/>
                <w:szCs w:val="24"/>
              </w:rPr>
            </w:pPr>
          </w:p>
        </w:tc>
        <w:tc>
          <w:tcPr>
            <w:tcW w:w="980" w:type="dxa"/>
            <w:tcBorders>
              <w:top w:val="nil"/>
              <w:left w:val="nil"/>
              <w:bottom w:val="single" w:sz="4" w:space="0" w:color="000000"/>
              <w:right w:val="nil"/>
            </w:tcBorders>
            <w:shd w:val="clear" w:color="auto" w:fill="auto"/>
            <w:vAlign w:val="bottom"/>
          </w:tcPr>
          <w:p w14:paraId="750FE3A9"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M</w:t>
            </w:r>
          </w:p>
        </w:tc>
        <w:tc>
          <w:tcPr>
            <w:tcW w:w="900" w:type="dxa"/>
            <w:tcBorders>
              <w:top w:val="nil"/>
              <w:left w:val="nil"/>
              <w:bottom w:val="single" w:sz="4" w:space="0" w:color="000000"/>
              <w:right w:val="nil"/>
            </w:tcBorders>
            <w:shd w:val="clear" w:color="auto" w:fill="auto"/>
            <w:vAlign w:val="bottom"/>
          </w:tcPr>
          <w:p w14:paraId="7D9DBEC1"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SD</w:t>
            </w:r>
          </w:p>
        </w:tc>
        <w:tc>
          <w:tcPr>
            <w:tcW w:w="760" w:type="dxa"/>
            <w:tcBorders>
              <w:top w:val="nil"/>
              <w:left w:val="nil"/>
              <w:bottom w:val="nil"/>
              <w:right w:val="nil"/>
            </w:tcBorders>
            <w:shd w:val="clear" w:color="auto" w:fill="auto"/>
            <w:vAlign w:val="bottom"/>
          </w:tcPr>
          <w:p w14:paraId="27ABF5C4" w14:textId="77777777" w:rsidR="006E4B3A" w:rsidRPr="00A03CB5" w:rsidRDefault="006E4B3A">
            <w:pPr>
              <w:spacing w:line="240" w:lineRule="auto"/>
              <w:jc w:val="center"/>
              <w:rPr>
                <w:rFonts w:ascii="Times New Roman" w:eastAsia="Times New Roman" w:hAnsi="Times New Roman" w:cs="Times New Roman"/>
                <w:i/>
                <w:sz w:val="24"/>
                <w:szCs w:val="24"/>
              </w:rPr>
            </w:pPr>
          </w:p>
        </w:tc>
        <w:tc>
          <w:tcPr>
            <w:tcW w:w="980" w:type="dxa"/>
            <w:tcBorders>
              <w:top w:val="nil"/>
              <w:left w:val="nil"/>
              <w:bottom w:val="single" w:sz="4" w:space="0" w:color="000000"/>
              <w:right w:val="nil"/>
            </w:tcBorders>
            <w:shd w:val="clear" w:color="auto" w:fill="auto"/>
            <w:vAlign w:val="bottom"/>
          </w:tcPr>
          <w:p w14:paraId="0B00193A"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M</w:t>
            </w:r>
          </w:p>
        </w:tc>
        <w:tc>
          <w:tcPr>
            <w:tcW w:w="980" w:type="dxa"/>
            <w:tcBorders>
              <w:top w:val="nil"/>
              <w:left w:val="nil"/>
              <w:bottom w:val="single" w:sz="4" w:space="0" w:color="000000"/>
              <w:right w:val="nil"/>
            </w:tcBorders>
            <w:shd w:val="clear" w:color="auto" w:fill="auto"/>
            <w:vAlign w:val="bottom"/>
          </w:tcPr>
          <w:p w14:paraId="1DD48251"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SD</w:t>
            </w:r>
          </w:p>
        </w:tc>
        <w:tc>
          <w:tcPr>
            <w:tcW w:w="680" w:type="dxa"/>
            <w:tcBorders>
              <w:top w:val="nil"/>
              <w:left w:val="nil"/>
              <w:bottom w:val="nil"/>
              <w:right w:val="nil"/>
            </w:tcBorders>
            <w:shd w:val="clear" w:color="auto" w:fill="auto"/>
            <w:vAlign w:val="bottom"/>
          </w:tcPr>
          <w:p w14:paraId="7C981266" w14:textId="77777777" w:rsidR="006E4B3A" w:rsidRPr="00A03CB5" w:rsidRDefault="006E4B3A">
            <w:pPr>
              <w:spacing w:line="240" w:lineRule="auto"/>
              <w:jc w:val="center"/>
              <w:rPr>
                <w:rFonts w:ascii="Times New Roman" w:eastAsia="Times New Roman" w:hAnsi="Times New Roman" w:cs="Times New Roman"/>
                <w:i/>
                <w:sz w:val="24"/>
                <w:szCs w:val="24"/>
              </w:rPr>
            </w:pPr>
          </w:p>
        </w:tc>
        <w:tc>
          <w:tcPr>
            <w:tcW w:w="980" w:type="dxa"/>
            <w:tcBorders>
              <w:top w:val="nil"/>
              <w:left w:val="nil"/>
              <w:bottom w:val="single" w:sz="4" w:space="0" w:color="000000"/>
              <w:right w:val="nil"/>
            </w:tcBorders>
            <w:shd w:val="clear" w:color="auto" w:fill="auto"/>
            <w:vAlign w:val="bottom"/>
          </w:tcPr>
          <w:p w14:paraId="7106BD00"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M</w:t>
            </w:r>
          </w:p>
        </w:tc>
        <w:tc>
          <w:tcPr>
            <w:tcW w:w="980" w:type="dxa"/>
            <w:tcBorders>
              <w:top w:val="nil"/>
              <w:left w:val="nil"/>
              <w:bottom w:val="single" w:sz="4" w:space="0" w:color="000000"/>
              <w:right w:val="nil"/>
            </w:tcBorders>
            <w:shd w:val="clear" w:color="auto" w:fill="auto"/>
            <w:vAlign w:val="bottom"/>
          </w:tcPr>
          <w:p w14:paraId="2A8DA30F"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SD</w:t>
            </w:r>
          </w:p>
        </w:tc>
      </w:tr>
      <w:tr w:rsidR="006E4B3A" w:rsidRPr="00A03CB5" w14:paraId="1552B0DC" w14:textId="77777777">
        <w:trPr>
          <w:trHeight w:val="320"/>
        </w:trPr>
        <w:tc>
          <w:tcPr>
            <w:tcW w:w="3600" w:type="dxa"/>
            <w:tcBorders>
              <w:top w:val="nil"/>
              <w:left w:val="nil"/>
              <w:bottom w:val="nil"/>
              <w:right w:val="nil"/>
            </w:tcBorders>
            <w:shd w:val="clear" w:color="auto" w:fill="auto"/>
            <w:vAlign w:val="bottom"/>
          </w:tcPr>
          <w:p w14:paraId="443ABF8A" w14:textId="77777777" w:rsidR="006E4B3A" w:rsidRPr="00A03CB5" w:rsidRDefault="00000000">
            <w:pPr>
              <w:spacing w:line="240" w:lineRule="auto"/>
              <w:rPr>
                <w:rFonts w:ascii="Times New Roman" w:eastAsia="Times New Roman" w:hAnsi="Times New Roman" w:cs="Times New Roman"/>
                <w:sz w:val="24"/>
                <w:szCs w:val="24"/>
              </w:rPr>
            </w:pP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 xml:space="preserve"> total</w:t>
            </w:r>
          </w:p>
        </w:tc>
        <w:tc>
          <w:tcPr>
            <w:tcW w:w="980" w:type="dxa"/>
            <w:tcBorders>
              <w:top w:val="single" w:sz="4" w:space="0" w:color="000000"/>
              <w:left w:val="nil"/>
              <w:bottom w:val="nil"/>
              <w:right w:val="nil"/>
            </w:tcBorders>
            <w:shd w:val="clear" w:color="auto" w:fill="auto"/>
            <w:vAlign w:val="bottom"/>
          </w:tcPr>
          <w:p w14:paraId="1CD2E2E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3.55</w:t>
            </w:r>
          </w:p>
        </w:tc>
        <w:tc>
          <w:tcPr>
            <w:tcW w:w="900" w:type="dxa"/>
            <w:tcBorders>
              <w:top w:val="single" w:sz="4" w:space="0" w:color="000000"/>
              <w:left w:val="nil"/>
              <w:bottom w:val="nil"/>
              <w:right w:val="nil"/>
            </w:tcBorders>
            <w:shd w:val="clear" w:color="auto" w:fill="auto"/>
            <w:vAlign w:val="bottom"/>
          </w:tcPr>
          <w:p w14:paraId="6156B21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3.84</w:t>
            </w:r>
          </w:p>
        </w:tc>
        <w:tc>
          <w:tcPr>
            <w:tcW w:w="760" w:type="dxa"/>
            <w:tcBorders>
              <w:top w:val="nil"/>
              <w:left w:val="nil"/>
              <w:bottom w:val="nil"/>
              <w:right w:val="nil"/>
            </w:tcBorders>
            <w:shd w:val="clear" w:color="auto" w:fill="auto"/>
            <w:vAlign w:val="bottom"/>
          </w:tcPr>
          <w:p w14:paraId="55FB332F"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single" w:sz="4" w:space="0" w:color="000000"/>
              <w:left w:val="nil"/>
              <w:bottom w:val="nil"/>
              <w:right w:val="nil"/>
            </w:tcBorders>
            <w:shd w:val="clear" w:color="auto" w:fill="auto"/>
            <w:vAlign w:val="bottom"/>
          </w:tcPr>
          <w:p w14:paraId="20E7849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2.34</w:t>
            </w:r>
          </w:p>
        </w:tc>
        <w:tc>
          <w:tcPr>
            <w:tcW w:w="980" w:type="dxa"/>
            <w:tcBorders>
              <w:top w:val="single" w:sz="4" w:space="0" w:color="000000"/>
              <w:left w:val="nil"/>
              <w:bottom w:val="nil"/>
              <w:right w:val="nil"/>
            </w:tcBorders>
            <w:shd w:val="clear" w:color="auto" w:fill="auto"/>
            <w:vAlign w:val="bottom"/>
          </w:tcPr>
          <w:p w14:paraId="6CD5772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2.90</w:t>
            </w:r>
          </w:p>
        </w:tc>
        <w:tc>
          <w:tcPr>
            <w:tcW w:w="680" w:type="dxa"/>
            <w:tcBorders>
              <w:top w:val="nil"/>
              <w:left w:val="nil"/>
              <w:bottom w:val="nil"/>
              <w:right w:val="nil"/>
            </w:tcBorders>
            <w:shd w:val="clear" w:color="auto" w:fill="auto"/>
            <w:vAlign w:val="bottom"/>
          </w:tcPr>
          <w:p w14:paraId="54481FA1"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single" w:sz="4" w:space="0" w:color="000000"/>
              <w:left w:val="nil"/>
              <w:bottom w:val="nil"/>
              <w:right w:val="nil"/>
            </w:tcBorders>
            <w:shd w:val="clear" w:color="auto" w:fill="auto"/>
            <w:vAlign w:val="bottom"/>
          </w:tcPr>
          <w:p w14:paraId="6DF239E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2.11</w:t>
            </w:r>
          </w:p>
        </w:tc>
        <w:tc>
          <w:tcPr>
            <w:tcW w:w="980" w:type="dxa"/>
            <w:tcBorders>
              <w:top w:val="single" w:sz="4" w:space="0" w:color="000000"/>
              <w:left w:val="nil"/>
              <w:bottom w:val="nil"/>
              <w:right w:val="nil"/>
            </w:tcBorders>
            <w:shd w:val="clear" w:color="auto" w:fill="auto"/>
            <w:vAlign w:val="bottom"/>
          </w:tcPr>
          <w:p w14:paraId="00A3572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2.58</w:t>
            </w:r>
          </w:p>
        </w:tc>
      </w:tr>
      <w:tr w:rsidR="006E4B3A" w:rsidRPr="00A03CB5" w14:paraId="13A0B01B" w14:textId="77777777">
        <w:trPr>
          <w:trHeight w:val="320"/>
        </w:trPr>
        <w:tc>
          <w:tcPr>
            <w:tcW w:w="3600" w:type="dxa"/>
            <w:tcBorders>
              <w:top w:val="nil"/>
              <w:left w:val="nil"/>
              <w:bottom w:val="nil"/>
              <w:right w:val="nil"/>
            </w:tcBorders>
            <w:shd w:val="clear" w:color="auto" w:fill="auto"/>
            <w:vAlign w:val="bottom"/>
          </w:tcPr>
          <w:p w14:paraId="2057A4EB"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STQ total</w:t>
            </w:r>
          </w:p>
        </w:tc>
        <w:tc>
          <w:tcPr>
            <w:tcW w:w="980" w:type="dxa"/>
            <w:tcBorders>
              <w:top w:val="nil"/>
              <w:left w:val="nil"/>
              <w:bottom w:val="nil"/>
              <w:right w:val="nil"/>
            </w:tcBorders>
            <w:shd w:val="clear" w:color="auto" w:fill="auto"/>
            <w:vAlign w:val="bottom"/>
          </w:tcPr>
          <w:p w14:paraId="5D5E84C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48.32</w:t>
            </w:r>
          </w:p>
        </w:tc>
        <w:tc>
          <w:tcPr>
            <w:tcW w:w="900" w:type="dxa"/>
            <w:tcBorders>
              <w:top w:val="nil"/>
              <w:left w:val="nil"/>
              <w:bottom w:val="nil"/>
              <w:right w:val="nil"/>
            </w:tcBorders>
            <w:shd w:val="clear" w:color="auto" w:fill="auto"/>
            <w:vAlign w:val="bottom"/>
          </w:tcPr>
          <w:p w14:paraId="0E19A23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14.56</w:t>
            </w:r>
          </w:p>
        </w:tc>
        <w:tc>
          <w:tcPr>
            <w:tcW w:w="760" w:type="dxa"/>
            <w:tcBorders>
              <w:top w:val="nil"/>
              <w:left w:val="nil"/>
              <w:bottom w:val="nil"/>
              <w:right w:val="nil"/>
            </w:tcBorders>
            <w:shd w:val="clear" w:color="auto" w:fill="auto"/>
            <w:vAlign w:val="bottom"/>
          </w:tcPr>
          <w:p w14:paraId="08713C9A"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7B2E95E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48.06</w:t>
            </w:r>
          </w:p>
        </w:tc>
        <w:tc>
          <w:tcPr>
            <w:tcW w:w="980" w:type="dxa"/>
            <w:tcBorders>
              <w:top w:val="nil"/>
              <w:left w:val="nil"/>
              <w:bottom w:val="nil"/>
              <w:right w:val="nil"/>
            </w:tcBorders>
            <w:shd w:val="clear" w:color="auto" w:fill="auto"/>
            <w:vAlign w:val="bottom"/>
          </w:tcPr>
          <w:p w14:paraId="453943A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14.71</w:t>
            </w:r>
          </w:p>
        </w:tc>
        <w:tc>
          <w:tcPr>
            <w:tcW w:w="680" w:type="dxa"/>
            <w:tcBorders>
              <w:top w:val="nil"/>
              <w:left w:val="nil"/>
              <w:bottom w:val="nil"/>
              <w:right w:val="nil"/>
            </w:tcBorders>
            <w:shd w:val="clear" w:color="auto" w:fill="auto"/>
            <w:vAlign w:val="bottom"/>
          </w:tcPr>
          <w:p w14:paraId="40E4AF23"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201FB34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46.29</w:t>
            </w:r>
          </w:p>
        </w:tc>
        <w:tc>
          <w:tcPr>
            <w:tcW w:w="980" w:type="dxa"/>
            <w:tcBorders>
              <w:top w:val="nil"/>
              <w:left w:val="nil"/>
              <w:bottom w:val="nil"/>
              <w:right w:val="nil"/>
            </w:tcBorders>
            <w:shd w:val="clear" w:color="auto" w:fill="auto"/>
            <w:vAlign w:val="bottom"/>
          </w:tcPr>
          <w:p w14:paraId="7B2D4AE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16.08</w:t>
            </w:r>
          </w:p>
        </w:tc>
      </w:tr>
      <w:tr w:rsidR="006E4B3A" w:rsidRPr="00A03CB5" w14:paraId="3618385C" w14:textId="77777777">
        <w:trPr>
          <w:trHeight w:val="320"/>
        </w:trPr>
        <w:tc>
          <w:tcPr>
            <w:tcW w:w="3600" w:type="dxa"/>
            <w:tcBorders>
              <w:top w:val="nil"/>
              <w:left w:val="nil"/>
              <w:bottom w:val="nil"/>
              <w:right w:val="nil"/>
            </w:tcBorders>
            <w:shd w:val="clear" w:color="auto" w:fill="auto"/>
            <w:vAlign w:val="bottom"/>
          </w:tcPr>
          <w:p w14:paraId="1690CA43"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SQHPF total</w:t>
            </w:r>
            <w:r w:rsidRPr="00A03CB5">
              <w:rPr>
                <w:rFonts w:ascii="Times New Roman" w:eastAsia="Times New Roman" w:hAnsi="Times New Roman" w:cs="Times New Roman"/>
                <w:sz w:val="24"/>
                <w:szCs w:val="24"/>
                <w:vertAlign w:val="superscript"/>
              </w:rPr>
              <w:t>1</w:t>
            </w:r>
          </w:p>
        </w:tc>
        <w:tc>
          <w:tcPr>
            <w:tcW w:w="980" w:type="dxa"/>
            <w:tcBorders>
              <w:top w:val="nil"/>
              <w:left w:val="nil"/>
              <w:bottom w:val="nil"/>
              <w:right w:val="nil"/>
            </w:tcBorders>
            <w:shd w:val="clear" w:color="auto" w:fill="auto"/>
            <w:vAlign w:val="bottom"/>
          </w:tcPr>
          <w:p w14:paraId="4BAC26A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8.06</w:t>
            </w:r>
          </w:p>
        </w:tc>
        <w:tc>
          <w:tcPr>
            <w:tcW w:w="900" w:type="dxa"/>
            <w:tcBorders>
              <w:top w:val="nil"/>
              <w:left w:val="nil"/>
              <w:bottom w:val="nil"/>
              <w:right w:val="nil"/>
            </w:tcBorders>
            <w:shd w:val="clear" w:color="auto" w:fill="auto"/>
            <w:vAlign w:val="bottom"/>
          </w:tcPr>
          <w:p w14:paraId="2652FAD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2.66</w:t>
            </w:r>
          </w:p>
        </w:tc>
        <w:tc>
          <w:tcPr>
            <w:tcW w:w="760" w:type="dxa"/>
            <w:tcBorders>
              <w:top w:val="nil"/>
              <w:left w:val="nil"/>
              <w:bottom w:val="nil"/>
              <w:right w:val="nil"/>
            </w:tcBorders>
            <w:shd w:val="clear" w:color="auto" w:fill="auto"/>
            <w:vAlign w:val="bottom"/>
          </w:tcPr>
          <w:p w14:paraId="586D7905"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7AC8A52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7.03</w:t>
            </w:r>
          </w:p>
        </w:tc>
        <w:tc>
          <w:tcPr>
            <w:tcW w:w="980" w:type="dxa"/>
            <w:tcBorders>
              <w:top w:val="nil"/>
              <w:left w:val="nil"/>
              <w:bottom w:val="nil"/>
              <w:right w:val="nil"/>
            </w:tcBorders>
            <w:shd w:val="clear" w:color="auto" w:fill="auto"/>
            <w:vAlign w:val="bottom"/>
          </w:tcPr>
          <w:p w14:paraId="7E73EDE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2.99</w:t>
            </w:r>
          </w:p>
        </w:tc>
        <w:tc>
          <w:tcPr>
            <w:tcW w:w="680" w:type="dxa"/>
            <w:tcBorders>
              <w:top w:val="nil"/>
              <w:left w:val="nil"/>
              <w:bottom w:val="nil"/>
              <w:right w:val="nil"/>
            </w:tcBorders>
            <w:shd w:val="clear" w:color="auto" w:fill="auto"/>
            <w:vAlign w:val="bottom"/>
          </w:tcPr>
          <w:p w14:paraId="407AADFB"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3D7141C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6.82</w:t>
            </w:r>
          </w:p>
        </w:tc>
        <w:tc>
          <w:tcPr>
            <w:tcW w:w="980" w:type="dxa"/>
            <w:tcBorders>
              <w:top w:val="nil"/>
              <w:left w:val="nil"/>
              <w:bottom w:val="nil"/>
              <w:right w:val="nil"/>
            </w:tcBorders>
            <w:shd w:val="clear" w:color="auto" w:fill="auto"/>
            <w:vAlign w:val="bottom"/>
          </w:tcPr>
          <w:p w14:paraId="3CF5A06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2.94</w:t>
            </w:r>
          </w:p>
        </w:tc>
      </w:tr>
      <w:tr w:rsidR="006E4B3A" w:rsidRPr="00A03CB5" w14:paraId="30BC19E2" w14:textId="77777777">
        <w:trPr>
          <w:trHeight w:val="320"/>
        </w:trPr>
        <w:tc>
          <w:tcPr>
            <w:tcW w:w="3600" w:type="dxa"/>
            <w:tcBorders>
              <w:top w:val="nil"/>
              <w:left w:val="nil"/>
              <w:right w:val="nil"/>
            </w:tcBorders>
            <w:shd w:val="clear" w:color="auto" w:fill="auto"/>
            <w:vAlign w:val="bottom"/>
          </w:tcPr>
          <w:p w14:paraId="5A36F531"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0969357E"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00" w:type="dxa"/>
            <w:tcBorders>
              <w:top w:val="nil"/>
              <w:left w:val="nil"/>
              <w:bottom w:val="nil"/>
              <w:right w:val="nil"/>
            </w:tcBorders>
            <w:shd w:val="clear" w:color="auto" w:fill="auto"/>
            <w:vAlign w:val="bottom"/>
          </w:tcPr>
          <w:p w14:paraId="2435CA56"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60" w:type="dxa"/>
            <w:tcBorders>
              <w:top w:val="nil"/>
              <w:left w:val="nil"/>
              <w:bottom w:val="nil"/>
              <w:right w:val="nil"/>
            </w:tcBorders>
            <w:shd w:val="clear" w:color="auto" w:fill="auto"/>
            <w:vAlign w:val="bottom"/>
          </w:tcPr>
          <w:p w14:paraId="3EA01B7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1F4B4083"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24F69A9D"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680" w:type="dxa"/>
            <w:tcBorders>
              <w:top w:val="nil"/>
              <w:left w:val="nil"/>
              <w:bottom w:val="nil"/>
              <w:right w:val="nil"/>
            </w:tcBorders>
            <w:shd w:val="clear" w:color="auto" w:fill="auto"/>
            <w:vAlign w:val="bottom"/>
          </w:tcPr>
          <w:p w14:paraId="23963548"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5486C021"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50859BF0"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2B4ED31D" w14:textId="77777777">
        <w:trPr>
          <w:trHeight w:val="320"/>
        </w:trPr>
        <w:tc>
          <w:tcPr>
            <w:tcW w:w="3600" w:type="dxa"/>
            <w:tcBorders>
              <w:top w:val="nil"/>
              <w:left w:val="nil"/>
              <w:bottom w:val="single" w:sz="4" w:space="0" w:color="000000"/>
              <w:right w:val="nil"/>
            </w:tcBorders>
            <w:shd w:val="clear" w:color="auto" w:fill="auto"/>
            <w:vAlign w:val="bottom"/>
          </w:tcPr>
          <w:p w14:paraId="3B39C8D2"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Food sources and preparation frequency</w:t>
            </w:r>
            <w:r w:rsidRPr="00A03CB5">
              <w:rPr>
                <w:rFonts w:ascii="Times New Roman" w:eastAsia="Times New Roman" w:hAnsi="Times New Roman" w:cs="Times New Roman"/>
                <w:sz w:val="24"/>
                <w:szCs w:val="24"/>
                <w:vertAlign w:val="superscript"/>
              </w:rPr>
              <w:t>2</w:t>
            </w:r>
          </w:p>
        </w:tc>
        <w:tc>
          <w:tcPr>
            <w:tcW w:w="980" w:type="dxa"/>
            <w:tcBorders>
              <w:top w:val="nil"/>
              <w:left w:val="nil"/>
              <w:bottom w:val="nil"/>
              <w:right w:val="nil"/>
            </w:tcBorders>
            <w:shd w:val="clear" w:color="auto" w:fill="auto"/>
            <w:vAlign w:val="bottom"/>
          </w:tcPr>
          <w:p w14:paraId="32D9F256"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00" w:type="dxa"/>
            <w:tcBorders>
              <w:top w:val="nil"/>
              <w:left w:val="nil"/>
              <w:bottom w:val="nil"/>
              <w:right w:val="nil"/>
            </w:tcBorders>
            <w:shd w:val="clear" w:color="auto" w:fill="auto"/>
            <w:vAlign w:val="bottom"/>
          </w:tcPr>
          <w:p w14:paraId="6E32A31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60" w:type="dxa"/>
            <w:tcBorders>
              <w:top w:val="nil"/>
              <w:left w:val="nil"/>
              <w:bottom w:val="nil"/>
              <w:right w:val="nil"/>
            </w:tcBorders>
            <w:shd w:val="clear" w:color="auto" w:fill="auto"/>
            <w:vAlign w:val="bottom"/>
          </w:tcPr>
          <w:p w14:paraId="27A84928"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7E0B513A"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13382C23"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680" w:type="dxa"/>
            <w:tcBorders>
              <w:top w:val="nil"/>
              <w:left w:val="nil"/>
              <w:bottom w:val="nil"/>
              <w:right w:val="nil"/>
            </w:tcBorders>
            <w:shd w:val="clear" w:color="auto" w:fill="auto"/>
            <w:vAlign w:val="bottom"/>
          </w:tcPr>
          <w:p w14:paraId="6D01FD2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005A859D"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2BC4787B"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1B3F8A59" w14:textId="77777777">
        <w:trPr>
          <w:trHeight w:val="320"/>
        </w:trPr>
        <w:tc>
          <w:tcPr>
            <w:tcW w:w="3600" w:type="dxa"/>
            <w:tcBorders>
              <w:top w:val="single" w:sz="4" w:space="0" w:color="000000"/>
              <w:left w:val="nil"/>
              <w:bottom w:val="nil"/>
              <w:right w:val="nil"/>
            </w:tcBorders>
            <w:shd w:val="clear" w:color="auto" w:fill="auto"/>
            <w:vAlign w:val="bottom"/>
          </w:tcPr>
          <w:p w14:paraId="0A05CBE4"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 xml:space="preserve">Fast food </w:t>
            </w:r>
          </w:p>
        </w:tc>
        <w:tc>
          <w:tcPr>
            <w:tcW w:w="980" w:type="dxa"/>
            <w:tcBorders>
              <w:top w:val="nil"/>
              <w:left w:val="nil"/>
              <w:bottom w:val="nil"/>
              <w:right w:val="nil"/>
            </w:tcBorders>
            <w:shd w:val="clear" w:color="auto" w:fill="auto"/>
            <w:vAlign w:val="bottom"/>
          </w:tcPr>
          <w:p w14:paraId="1B6BA0D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4.58</w:t>
            </w:r>
          </w:p>
        </w:tc>
        <w:tc>
          <w:tcPr>
            <w:tcW w:w="900" w:type="dxa"/>
            <w:tcBorders>
              <w:top w:val="nil"/>
              <w:left w:val="nil"/>
              <w:bottom w:val="nil"/>
              <w:right w:val="nil"/>
            </w:tcBorders>
            <w:shd w:val="clear" w:color="auto" w:fill="auto"/>
            <w:vAlign w:val="bottom"/>
          </w:tcPr>
          <w:p w14:paraId="0B05A4E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2.14</w:t>
            </w:r>
          </w:p>
        </w:tc>
        <w:tc>
          <w:tcPr>
            <w:tcW w:w="760" w:type="dxa"/>
            <w:tcBorders>
              <w:top w:val="nil"/>
              <w:left w:val="nil"/>
              <w:bottom w:val="nil"/>
              <w:right w:val="nil"/>
            </w:tcBorders>
            <w:shd w:val="clear" w:color="auto" w:fill="auto"/>
            <w:vAlign w:val="bottom"/>
          </w:tcPr>
          <w:p w14:paraId="729515F9"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5C78F7A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4.69</w:t>
            </w:r>
          </w:p>
        </w:tc>
        <w:tc>
          <w:tcPr>
            <w:tcW w:w="980" w:type="dxa"/>
            <w:tcBorders>
              <w:top w:val="nil"/>
              <w:left w:val="nil"/>
              <w:bottom w:val="nil"/>
              <w:right w:val="nil"/>
            </w:tcBorders>
            <w:shd w:val="clear" w:color="auto" w:fill="auto"/>
            <w:vAlign w:val="bottom"/>
          </w:tcPr>
          <w:p w14:paraId="27C1A7C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2.60</w:t>
            </w:r>
          </w:p>
        </w:tc>
        <w:tc>
          <w:tcPr>
            <w:tcW w:w="680" w:type="dxa"/>
            <w:tcBorders>
              <w:top w:val="nil"/>
              <w:left w:val="nil"/>
              <w:bottom w:val="nil"/>
              <w:right w:val="nil"/>
            </w:tcBorders>
            <w:shd w:val="clear" w:color="auto" w:fill="auto"/>
            <w:vAlign w:val="bottom"/>
          </w:tcPr>
          <w:p w14:paraId="4B4F06B0"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31C0760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4.64</w:t>
            </w:r>
          </w:p>
        </w:tc>
        <w:tc>
          <w:tcPr>
            <w:tcW w:w="980" w:type="dxa"/>
            <w:tcBorders>
              <w:top w:val="nil"/>
              <w:left w:val="nil"/>
              <w:bottom w:val="nil"/>
              <w:right w:val="nil"/>
            </w:tcBorders>
            <w:shd w:val="clear" w:color="auto" w:fill="auto"/>
            <w:vAlign w:val="bottom"/>
          </w:tcPr>
          <w:p w14:paraId="3F7C366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2.44</w:t>
            </w:r>
          </w:p>
        </w:tc>
      </w:tr>
      <w:tr w:rsidR="006E4B3A" w:rsidRPr="00A03CB5" w14:paraId="19E55838" w14:textId="77777777">
        <w:trPr>
          <w:trHeight w:val="320"/>
        </w:trPr>
        <w:tc>
          <w:tcPr>
            <w:tcW w:w="3600" w:type="dxa"/>
            <w:tcBorders>
              <w:top w:val="nil"/>
              <w:left w:val="nil"/>
              <w:bottom w:val="nil"/>
              <w:right w:val="nil"/>
            </w:tcBorders>
            <w:shd w:val="clear" w:color="auto" w:fill="auto"/>
            <w:vAlign w:val="bottom"/>
          </w:tcPr>
          <w:p w14:paraId="6FAB4103"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Full-service restaurant</w:t>
            </w:r>
          </w:p>
        </w:tc>
        <w:tc>
          <w:tcPr>
            <w:tcW w:w="980" w:type="dxa"/>
            <w:tcBorders>
              <w:top w:val="nil"/>
              <w:left w:val="nil"/>
              <w:bottom w:val="nil"/>
              <w:right w:val="nil"/>
            </w:tcBorders>
            <w:shd w:val="clear" w:color="auto" w:fill="auto"/>
            <w:vAlign w:val="bottom"/>
          </w:tcPr>
          <w:p w14:paraId="17E9F14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3.80</w:t>
            </w:r>
          </w:p>
        </w:tc>
        <w:tc>
          <w:tcPr>
            <w:tcW w:w="900" w:type="dxa"/>
            <w:tcBorders>
              <w:top w:val="nil"/>
              <w:left w:val="nil"/>
              <w:bottom w:val="nil"/>
              <w:right w:val="nil"/>
            </w:tcBorders>
            <w:shd w:val="clear" w:color="auto" w:fill="auto"/>
            <w:vAlign w:val="bottom"/>
          </w:tcPr>
          <w:p w14:paraId="04D9D48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1.90</w:t>
            </w:r>
          </w:p>
        </w:tc>
        <w:tc>
          <w:tcPr>
            <w:tcW w:w="760" w:type="dxa"/>
            <w:tcBorders>
              <w:top w:val="nil"/>
              <w:left w:val="nil"/>
              <w:bottom w:val="nil"/>
              <w:right w:val="nil"/>
            </w:tcBorders>
            <w:shd w:val="clear" w:color="auto" w:fill="auto"/>
            <w:vAlign w:val="bottom"/>
          </w:tcPr>
          <w:p w14:paraId="33BB57E6"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3527DB0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3.74</w:t>
            </w:r>
          </w:p>
        </w:tc>
        <w:tc>
          <w:tcPr>
            <w:tcW w:w="980" w:type="dxa"/>
            <w:tcBorders>
              <w:top w:val="nil"/>
              <w:left w:val="nil"/>
              <w:bottom w:val="nil"/>
              <w:right w:val="nil"/>
            </w:tcBorders>
            <w:shd w:val="clear" w:color="auto" w:fill="auto"/>
            <w:vAlign w:val="bottom"/>
          </w:tcPr>
          <w:p w14:paraId="5509CE5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1.95</w:t>
            </w:r>
          </w:p>
        </w:tc>
        <w:tc>
          <w:tcPr>
            <w:tcW w:w="680" w:type="dxa"/>
            <w:tcBorders>
              <w:top w:val="nil"/>
              <w:left w:val="nil"/>
              <w:bottom w:val="nil"/>
              <w:right w:val="nil"/>
            </w:tcBorders>
            <w:shd w:val="clear" w:color="auto" w:fill="auto"/>
            <w:vAlign w:val="bottom"/>
          </w:tcPr>
          <w:p w14:paraId="743EC28A"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26BA128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3.93</w:t>
            </w:r>
          </w:p>
        </w:tc>
        <w:tc>
          <w:tcPr>
            <w:tcW w:w="980" w:type="dxa"/>
            <w:tcBorders>
              <w:top w:val="nil"/>
              <w:left w:val="nil"/>
              <w:bottom w:val="nil"/>
              <w:right w:val="nil"/>
            </w:tcBorders>
            <w:shd w:val="clear" w:color="auto" w:fill="auto"/>
            <w:vAlign w:val="bottom"/>
          </w:tcPr>
          <w:p w14:paraId="4B65C28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2.12</w:t>
            </w:r>
          </w:p>
        </w:tc>
      </w:tr>
      <w:tr w:rsidR="006E4B3A" w:rsidRPr="00A03CB5" w14:paraId="4725A309" w14:textId="77777777">
        <w:trPr>
          <w:trHeight w:val="320"/>
        </w:trPr>
        <w:tc>
          <w:tcPr>
            <w:tcW w:w="3600" w:type="dxa"/>
            <w:tcBorders>
              <w:top w:val="nil"/>
              <w:left w:val="nil"/>
              <w:bottom w:val="nil"/>
              <w:right w:val="nil"/>
            </w:tcBorders>
            <w:shd w:val="clear" w:color="auto" w:fill="auto"/>
            <w:vAlign w:val="bottom"/>
          </w:tcPr>
          <w:p w14:paraId="0E760A4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Convenience store</w:t>
            </w:r>
          </w:p>
        </w:tc>
        <w:tc>
          <w:tcPr>
            <w:tcW w:w="980" w:type="dxa"/>
            <w:tcBorders>
              <w:top w:val="nil"/>
              <w:left w:val="nil"/>
              <w:bottom w:val="nil"/>
              <w:right w:val="nil"/>
            </w:tcBorders>
            <w:shd w:val="clear" w:color="auto" w:fill="auto"/>
            <w:vAlign w:val="bottom"/>
          </w:tcPr>
          <w:p w14:paraId="6175068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1.66</w:t>
            </w:r>
          </w:p>
        </w:tc>
        <w:tc>
          <w:tcPr>
            <w:tcW w:w="900" w:type="dxa"/>
            <w:tcBorders>
              <w:top w:val="nil"/>
              <w:left w:val="nil"/>
              <w:bottom w:val="nil"/>
              <w:right w:val="nil"/>
            </w:tcBorders>
            <w:shd w:val="clear" w:color="auto" w:fill="auto"/>
            <w:vAlign w:val="bottom"/>
          </w:tcPr>
          <w:p w14:paraId="618866D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0.96</w:t>
            </w:r>
          </w:p>
        </w:tc>
        <w:tc>
          <w:tcPr>
            <w:tcW w:w="760" w:type="dxa"/>
            <w:tcBorders>
              <w:top w:val="nil"/>
              <w:left w:val="nil"/>
              <w:bottom w:val="nil"/>
              <w:right w:val="nil"/>
            </w:tcBorders>
            <w:shd w:val="clear" w:color="auto" w:fill="auto"/>
            <w:vAlign w:val="bottom"/>
          </w:tcPr>
          <w:p w14:paraId="48DE6BB2"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17D675D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1.58</w:t>
            </w:r>
          </w:p>
        </w:tc>
        <w:tc>
          <w:tcPr>
            <w:tcW w:w="980" w:type="dxa"/>
            <w:tcBorders>
              <w:top w:val="nil"/>
              <w:left w:val="nil"/>
              <w:bottom w:val="nil"/>
              <w:right w:val="nil"/>
            </w:tcBorders>
            <w:shd w:val="clear" w:color="auto" w:fill="auto"/>
            <w:vAlign w:val="bottom"/>
          </w:tcPr>
          <w:p w14:paraId="19737B5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1.09</w:t>
            </w:r>
          </w:p>
        </w:tc>
        <w:tc>
          <w:tcPr>
            <w:tcW w:w="680" w:type="dxa"/>
            <w:tcBorders>
              <w:top w:val="nil"/>
              <w:left w:val="nil"/>
              <w:bottom w:val="nil"/>
              <w:right w:val="nil"/>
            </w:tcBorders>
            <w:shd w:val="clear" w:color="auto" w:fill="auto"/>
            <w:vAlign w:val="bottom"/>
          </w:tcPr>
          <w:p w14:paraId="7E4FA852"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50F94B5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1.56</w:t>
            </w:r>
          </w:p>
        </w:tc>
        <w:tc>
          <w:tcPr>
            <w:tcW w:w="980" w:type="dxa"/>
            <w:tcBorders>
              <w:top w:val="nil"/>
              <w:left w:val="nil"/>
              <w:bottom w:val="nil"/>
              <w:right w:val="nil"/>
            </w:tcBorders>
            <w:shd w:val="clear" w:color="auto" w:fill="auto"/>
            <w:vAlign w:val="bottom"/>
          </w:tcPr>
          <w:p w14:paraId="06CB7A7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0.91</w:t>
            </w:r>
          </w:p>
        </w:tc>
      </w:tr>
      <w:tr w:rsidR="006E4B3A" w:rsidRPr="00A03CB5" w14:paraId="29C0865A" w14:textId="77777777">
        <w:trPr>
          <w:trHeight w:val="320"/>
        </w:trPr>
        <w:tc>
          <w:tcPr>
            <w:tcW w:w="3600" w:type="dxa"/>
            <w:tcBorders>
              <w:top w:val="nil"/>
              <w:left w:val="nil"/>
              <w:bottom w:val="nil"/>
              <w:right w:val="nil"/>
            </w:tcBorders>
            <w:shd w:val="clear" w:color="auto" w:fill="auto"/>
            <w:vAlign w:val="bottom"/>
          </w:tcPr>
          <w:p w14:paraId="09EC638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Heat and serve</w:t>
            </w:r>
          </w:p>
        </w:tc>
        <w:tc>
          <w:tcPr>
            <w:tcW w:w="980" w:type="dxa"/>
            <w:tcBorders>
              <w:top w:val="nil"/>
              <w:left w:val="nil"/>
              <w:bottom w:val="nil"/>
              <w:right w:val="nil"/>
            </w:tcBorders>
            <w:shd w:val="clear" w:color="auto" w:fill="auto"/>
            <w:vAlign w:val="bottom"/>
          </w:tcPr>
          <w:p w14:paraId="4CB2913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2.31</w:t>
            </w:r>
          </w:p>
        </w:tc>
        <w:tc>
          <w:tcPr>
            <w:tcW w:w="900" w:type="dxa"/>
            <w:tcBorders>
              <w:top w:val="nil"/>
              <w:left w:val="nil"/>
              <w:bottom w:val="nil"/>
              <w:right w:val="nil"/>
            </w:tcBorders>
            <w:shd w:val="clear" w:color="auto" w:fill="auto"/>
            <w:vAlign w:val="bottom"/>
          </w:tcPr>
          <w:p w14:paraId="797A227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1.32</w:t>
            </w:r>
          </w:p>
        </w:tc>
        <w:tc>
          <w:tcPr>
            <w:tcW w:w="760" w:type="dxa"/>
            <w:tcBorders>
              <w:top w:val="nil"/>
              <w:left w:val="nil"/>
              <w:bottom w:val="nil"/>
              <w:right w:val="nil"/>
            </w:tcBorders>
            <w:shd w:val="clear" w:color="auto" w:fill="auto"/>
            <w:vAlign w:val="bottom"/>
          </w:tcPr>
          <w:p w14:paraId="5D899C4D"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033E2B1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2.37</w:t>
            </w:r>
          </w:p>
        </w:tc>
        <w:tc>
          <w:tcPr>
            <w:tcW w:w="980" w:type="dxa"/>
            <w:tcBorders>
              <w:top w:val="nil"/>
              <w:left w:val="nil"/>
              <w:bottom w:val="nil"/>
              <w:right w:val="nil"/>
            </w:tcBorders>
            <w:shd w:val="clear" w:color="auto" w:fill="auto"/>
            <w:vAlign w:val="bottom"/>
          </w:tcPr>
          <w:p w14:paraId="0307C12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1.30</w:t>
            </w:r>
          </w:p>
        </w:tc>
        <w:tc>
          <w:tcPr>
            <w:tcW w:w="680" w:type="dxa"/>
            <w:tcBorders>
              <w:top w:val="nil"/>
              <w:left w:val="nil"/>
              <w:bottom w:val="nil"/>
              <w:right w:val="nil"/>
            </w:tcBorders>
            <w:shd w:val="clear" w:color="auto" w:fill="auto"/>
            <w:vAlign w:val="bottom"/>
          </w:tcPr>
          <w:p w14:paraId="5B8A1764"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5BB02B7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2.23</w:t>
            </w:r>
          </w:p>
        </w:tc>
        <w:tc>
          <w:tcPr>
            <w:tcW w:w="980" w:type="dxa"/>
            <w:tcBorders>
              <w:top w:val="nil"/>
              <w:left w:val="nil"/>
              <w:bottom w:val="nil"/>
              <w:right w:val="nil"/>
            </w:tcBorders>
            <w:shd w:val="clear" w:color="auto" w:fill="auto"/>
            <w:vAlign w:val="bottom"/>
          </w:tcPr>
          <w:p w14:paraId="10806C1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1.14</w:t>
            </w:r>
          </w:p>
        </w:tc>
      </w:tr>
      <w:tr w:rsidR="006E4B3A" w:rsidRPr="00A03CB5" w14:paraId="4E84F22D" w14:textId="77777777">
        <w:trPr>
          <w:trHeight w:val="320"/>
        </w:trPr>
        <w:tc>
          <w:tcPr>
            <w:tcW w:w="3600" w:type="dxa"/>
            <w:tcBorders>
              <w:top w:val="nil"/>
              <w:left w:val="nil"/>
              <w:bottom w:val="nil"/>
              <w:right w:val="nil"/>
            </w:tcBorders>
            <w:shd w:val="clear" w:color="auto" w:fill="auto"/>
            <w:vAlign w:val="bottom"/>
          </w:tcPr>
          <w:p w14:paraId="59EF012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Food delivery</w:t>
            </w:r>
          </w:p>
        </w:tc>
        <w:tc>
          <w:tcPr>
            <w:tcW w:w="980" w:type="dxa"/>
            <w:tcBorders>
              <w:top w:val="nil"/>
              <w:left w:val="nil"/>
              <w:bottom w:val="nil"/>
              <w:right w:val="nil"/>
            </w:tcBorders>
            <w:shd w:val="clear" w:color="auto" w:fill="auto"/>
            <w:vAlign w:val="bottom"/>
          </w:tcPr>
          <w:p w14:paraId="410C734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2.08</w:t>
            </w:r>
          </w:p>
        </w:tc>
        <w:tc>
          <w:tcPr>
            <w:tcW w:w="900" w:type="dxa"/>
            <w:tcBorders>
              <w:top w:val="nil"/>
              <w:left w:val="nil"/>
              <w:bottom w:val="nil"/>
              <w:right w:val="nil"/>
            </w:tcBorders>
            <w:shd w:val="clear" w:color="auto" w:fill="auto"/>
            <w:vAlign w:val="bottom"/>
          </w:tcPr>
          <w:p w14:paraId="15AEA45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1.28</w:t>
            </w:r>
          </w:p>
        </w:tc>
        <w:tc>
          <w:tcPr>
            <w:tcW w:w="760" w:type="dxa"/>
            <w:tcBorders>
              <w:top w:val="nil"/>
              <w:left w:val="nil"/>
              <w:bottom w:val="nil"/>
              <w:right w:val="nil"/>
            </w:tcBorders>
            <w:shd w:val="clear" w:color="auto" w:fill="auto"/>
            <w:vAlign w:val="bottom"/>
          </w:tcPr>
          <w:p w14:paraId="67E44126"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3AA445F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2.11</w:t>
            </w:r>
          </w:p>
        </w:tc>
        <w:tc>
          <w:tcPr>
            <w:tcW w:w="980" w:type="dxa"/>
            <w:tcBorders>
              <w:top w:val="nil"/>
              <w:left w:val="nil"/>
              <w:bottom w:val="nil"/>
              <w:right w:val="nil"/>
            </w:tcBorders>
            <w:shd w:val="clear" w:color="auto" w:fill="auto"/>
            <w:vAlign w:val="bottom"/>
          </w:tcPr>
          <w:p w14:paraId="4B1C010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1.40</w:t>
            </w:r>
          </w:p>
        </w:tc>
        <w:tc>
          <w:tcPr>
            <w:tcW w:w="680" w:type="dxa"/>
            <w:tcBorders>
              <w:top w:val="nil"/>
              <w:left w:val="nil"/>
              <w:bottom w:val="nil"/>
              <w:right w:val="nil"/>
            </w:tcBorders>
            <w:shd w:val="clear" w:color="auto" w:fill="auto"/>
            <w:vAlign w:val="bottom"/>
          </w:tcPr>
          <w:p w14:paraId="0C6102AD"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vAlign w:val="bottom"/>
          </w:tcPr>
          <w:p w14:paraId="00B06E1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1.86</w:t>
            </w:r>
          </w:p>
        </w:tc>
        <w:tc>
          <w:tcPr>
            <w:tcW w:w="980" w:type="dxa"/>
            <w:tcBorders>
              <w:top w:val="nil"/>
              <w:left w:val="nil"/>
              <w:bottom w:val="nil"/>
              <w:right w:val="nil"/>
            </w:tcBorders>
            <w:shd w:val="clear" w:color="auto" w:fill="auto"/>
            <w:vAlign w:val="bottom"/>
          </w:tcPr>
          <w:p w14:paraId="0B7CD1B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1.20</w:t>
            </w:r>
          </w:p>
        </w:tc>
      </w:tr>
      <w:tr w:rsidR="006E4B3A" w:rsidRPr="00A03CB5" w14:paraId="0D2EE34D" w14:textId="77777777">
        <w:trPr>
          <w:trHeight w:val="320"/>
        </w:trPr>
        <w:tc>
          <w:tcPr>
            <w:tcW w:w="3600" w:type="dxa"/>
            <w:tcBorders>
              <w:top w:val="nil"/>
              <w:left w:val="nil"/>
              <w:bottom w:val="single" w:sz="4" w:space="0" w:color="000000"/>
              <w:right w:val="nil"/>
            </w:tcBorders>
            <w:shd w:val="clear" w:color="auto" w:fill="auto"/>
            <w:vAlign w:val="bottom"/>
          </w:tcPr>
          <w:p w14:paraId="5D4B984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Cooking from scratch</w:t>
            </w:r>
          </w:p>
        </w:tc>
        <w:tc>
          <w:tcPr>
            <w:tcW w:w="980" w:type="dxa"/>
            <w:tcBorders>
              <w:top w:val="nil"/>
              <w:left w:val="nil"/>
              <w:bottom w:val="single" w:sz="4" w:space="0" w:color="000000"/>
              <w:right w:val="nil"/>
            </w:tcBorders>
            <w:shd w:val="clear" w:color="auto" w:fill="auto"/>
            <w:vAlign w:val="bottom"/>
          </w:tcPr>
          <w:p w14:paraId="381CC71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3.96</w:t>
            </w:r>
          </w:p>
        </w:tc>
        <w:tc>
          <w:tcPr>
            <w:tcW w:w="900" w:type="dxa"/>
            <w:tcBorders>
              <w:top w:val="nil"/>
              <w:left w:val="nil"/>
              <w:bottom w:val="single" w:sz="4" w:space="0" w:color="000000"/>
              <w:right w:val="nil"/>
            </w:tcBorders>
            <w:shd w:val="clear" w:color="auto" w:fill="auto"/>
            <w:vAlign w:val="bottom"/>
          </w:tcPr>
          <w:p w14:paraId="430D754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1.82</w:t>
            </w:r>
          </w:p>
        </w:tc>
        <w:tc>
          <w:tcPr>
            <w:tcW w:w="760" w:type="dxa"/>
            <w:tcBorders>
              <w:top w:val="nil"/>
              <w:left w:val="nil"/>
              <w:bottom w:val="single" w:sz="4" w:space="0" w:color="000000"/>
              <w:right w:val="nil"/>
            </w:tcBorders>
            <w:shd w:val="clear" w:color="auto" w:fill="auto"/>
            <w:vAlign w:val="bottom"/>
          </w:tcPr>
          <w:p w14:paraId="7659BF32"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single" w:sz="4" w:space="0" w:color="000000"/>
              <w:right w:val="nil"/>
            </w:tcBorders>
            <w:shd w:val="clear" w:color="auto" w:fill="auto"/>
            <w:vAlign w:val="bottom"/>
          </w:tcPr>
          <w:p w14:paraId="6C08D22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4.11</w:t>
            </w:r>
          </w:p>
        </w:tc>
        <w:tc>
          <w:tcPr>
            <w:tcW w:w="980" w:type="dxa"/>
            <w:tcBorders>
              <w:top w:val="nil"/>
              <w:left w:val="nil"/>
              <w:bottom w:val="single" w:sz="4" w:space="0" w:color="000000"/>
              <w:right w:val="nil"/>
            </w:tcBorders>
            <w:shd w:val="clear" w:color="auto" w:fill="auto"/>
            <w:vAlign w:val="bottom"/>
          </w:tcPr>
          <w:p w14:paraId="29731F1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1.89</w:t>
            </w:r>
          </w:p>
        </w:tc>
        <w:tc>
          <w:tcPr>
            <w:tcW w:w="680" w:type="dxa"/>
            <w:tcBorders>
              <w:top w:val="nil"/>
              <w:left w:val="nil"/>
              <w:bottom w:val="single" w:sz="4" w:space="0" w:color="000000"/>
              <w:right w:val="nil"/>
            </w:tcBorders>
            <w:shd w:val="clear" w:color="auto" w:fill="auto"/>
            <w:vAlign w:val="bottom"/>
          </w:tcPr>
          <w:p w14:paraId="407BEDF3"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980" w:type="dxa"/>
            <w:tcBorders>
              <w:top w:val="nil"/>
              <w:left w:val="nil"/>
              <w:bottom w:val="single" w:sz="4" w:space="0" w:color="000000"/>
              <w:right w:val="nil"/>
            </w:tcBorders>
            <w:shd w:val="clear" w:color="auto" w:fill="auto"/>
            <w:vAlign w:val="bottom"/>
          </w:tcPr>
          <w:p w14:paraId="6D64592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3.97</w:t>
            </w:r>
          </w:p>
        </w:tc>
        <w:tc>
          <w:tcPr>
            <w:tcW w:w="980" w:type="dxa"/>
            <w:tcBorders>
              <w:top w:val="nil"/>
              <w:left w:val="nil"/>
              <w:bottom w:val="single" w:sz="4" w:space="0" w:color="000000"/>
              <w:right w:val="nil"/>
            </w:tcBorders>
            <w:shd w:val="clear" w:color="auto" w:fill="auto"/>
            <w:vAlign w:val="bottom"/>
          </w:tcPr>
          <w:p w14:paraId="3DBCC06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1.81</w:t>
            </w:r>
          </w:p>
        </w:tc>
      </w:tr>
      <w:tr w:rsidR="006E4B3A" w:rsidRPr="00A03CB5" w14:paraId="62753986" w14:textId="77777777">
        <w:trPr>
          <w:trHeight w:val="320"/>
        </w:trPr>
        <w:tc>
          <w:tcPr>
            <w:tcW w:w="10840" w:type="dxa"/>
            <w:gridSpan w:val="9"/>
            <w:tcBorders>
              <w:top w:val="single" w:sz="4" w:space="0" w:color="000000"/>
              <w:left w:val="nil"/>
              <w:bottom w:val="nil"/>
              <w:right w:val="nil"/>
            </w:tcBorders>
            <w:shd w:val="clear" w:color="auto" w:fill="auto"/>
            <w:vAlign w:val="bottom"/>
          </w:tcPr>
          <w:p w14:paraId="5AD2C24F"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Note</w:t>
            </w:r>
            <w:r w:rsidRPr="00A03CB5">
              <w:rPr>
                <w:rFonts w:ascii="Times New Roman" w:eastAsia="Times New Roman" w:hAnsi="Times New Roman" w:cs="Times New Roman"/>
                <w:sz w:val="24"/>
                <w:szCs w:val="24"/>
              </w:rPr>
              <w:t xml:space="preserve">. </w:t>
            </w:r>
            <w:proofErr w:type="spellStart"/>
            <w:r w:rsidRPr="00A03CB5">
              <w:rPr>
                <w:rFonts w:ascii="Times New Roman" w:eastAsia="Times New Roman" w:hAnsi="Times New Roman" w:cs="Times New Roman"/>
                <w:sz w:val="24"/>
                <w:szCs w:val="24"/>
              </w:rPr>
              <w:t>mYFAS</w:t>
            </w:r>
            <w:proofErr w:type="spellEnd"/>
            <w:r w:rsidRPr="00A03CB5">
              <w:rPr>
                <w:rFonts w:ascii="Times New Roman" w:eastAsia="Times New Roman" w:hAnsi="Times New Roman" w:cs="Times New Roman"/>
                <w:sz w:val="24"/>
                <w:szCs w:val="24"/>
              </w:rPr>
              <w:t>=Modified Yale Food Addiction Scale 2.0; STQ=Sweet Taste Questionnaire; SQHPF=Short Screening Questionnaire of Highly Processed Food Consumption.</w:t>
            </w:r>
          </w:p>
        </w:tc>
      </w:tr>
      <w:tr w:rsidR="006E4B3A" w:rsidRPr="00A03CB5" w14:paraId="3A338F5C" w14:textId="77777777">
        <w:trPr>
          <w:trHeight w:val="320"/>
        </w:trPr>
        <w:tc>
          <w:tcPr>
            <w:tcW w:w="10840" w:type="dxa"/>
            <w:gridSpan w:val="9"/>
            <w:tcBorders>
              <w:top w:val="nil"/>
              <w:left w:val="nil"/>
              <w:bottom w:val="nil"/>
              <w:right w:val="nil"/>
            </w:tcBorders>
            <w:shd w:val="clear" w:color="auto" w:fill="auto"/>
            <w:vAlign w:val="bottom"/>
          </w:tcPr>
          <w:p w14:paraId="462CA7F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vertAlign w:val="superscript"/>
              </w:rPr>
              <w:t xml:space="preserve">1 </w:t>
            </w:r>
            <w:r w:rsidRPr="00A03CB5">
              <w:rPr>
                <w:rFonts w:ascii="Times New Roman" w:eastAsia="Times New Roman" w:hAnsi="Times New Roman" w:cs="Times New Roman"/>
                <w:sz w:val="24"/>
                <w:szCs w:val="24"/>
              </w:rPr>
              <w:t>SQHPF score correspondence to estimated percentage of highly processed food consumption over the total intake (grams per day): 1=11.3%, 2=15%, 3=18.7%, 4=22.4%, 5=26.1%, 6=29.8%, 7=33.5%, 8=37.2%, 9=40.9%, 10=44.6%, 11=48.3%, 12=52%, 13=55.7%, 14=59.4%</w:t>
            </w:r>
          </w:p>
        </w:tc>
      </w:tr>
      <w:tr w:rsidR="006E4B3A" w:rsidRPr="00A03CB5" w14:paraId="5A01D129" w14:textId="77777777">
        <w:trPr>
          <w:trHeight w:val="320"/>
        </w:trPr>
        <w:tc>
          <w:tcPr>
            <w:tcW w:w="10840" w:type="dxa"/>
            <w:gridSpan w:val="9"/>
            <w:tcBorders>
              <w:top w:val="nil"/>
              <w:left w:val="nil"/>
              <w:bottom w:val="nil"/>
              <w:right w:val="nil"/>
            </w:tcBorders>
            <w:shd w:val="clear" w:color="auto" w:fill="auto"/>
            <w:vAlign w:val="bottom"/>
          </w:tcPr>
          <w:p w14:paraId="670F88D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vertAlign w:val="superscript"/>
              </w:rPr>
              <w:t xml:space="preserve">2 </w:t>
            </w:r>
            <w:r w:rsidRPr="00A03CB5">
              <w:rPr>
                <w:rFonts w:ascii="Times New Roman" w:eastAsia="Times New Roman" w:hAnsi="Times New Roman" w:cs="Times New Roman"/>
                <w:sz w:val="24"/>
                <w:szCs w:val="24"/>
              </w:rPr>
              <w:t>Response options (per week): 1=Never, 2=1 time, 3=2-3 times, 4=4-5 times, 5=6-7 times, 6=8-9 times, 7=10 or more times.</w:t>
            </w:r>
          </w:p>
        </w:tc>
      </w:tr>
    </w:tbl>
    <w:p w14:paraId="12C1F40E" w14:textId="77777777" w:rsidR="006E4B3A" w:rsidRPr="00A03CB5" w:rsidRDefault="006E4B3A">
      <w:pPr>
        <w:spacing w:line="240" w:lineRule="auto"/>
        <w:rPr>
          <w:rFonts w:ascii="Times New Roman" w:eastAsia="Aptos" w:hAnsi="Times New Roman" w:cs="Times New Roman"/>
          <w:sz w:val="24"/>
          <w:szCs w:val="24"/>
        </w:rPr>
      </w:pPr>
    </w:p>
    <w:p w14:paraId="35BC6E9D" w14:textId="77777777" w:rsidR="006E4B3A" w:rsidRPr="00A03CB5" w:rsidRDefault="00000000">
      <w:pPr>
        <w:spacing w:line="240" w:lineRule="auto"/>
        <w:rPr>
          <w:rFonts w:ascii="Times New Roman" w:eastAsia="Aptos" w:hAnsi="Times New Roman" w:cs="Times New Roman"/>
          <w:sz w:val="24"/>
          <w:szCs w:val="24"/>
        </w:rPr>
      </w:pPr>
      <w:r w:rsidRPr="00A03CB5">
        <w:rPr>
          <w:rFonts w:ascii="Times New Roman" w:hAnsi="Times New Roman" w:cs="Times New Roman"/>
          <w:sz w:val="24"/>
          <w:szCs w:val="24"/>
        </w:rPr>
        <w:br w:type="page"/>
      </w:r>
    </w:p>
    <w:tbl>
      <w:tblPr>
        <w:tblStyle w:val="a2"/>
        <w:tblW w:w="10800" w:type="dxa"/>
        <w:tblLayout w:type="fixed"/>
        <w:tblLook w:val="0400" w:firstRow="0" w:lastRow="0" w:firstColumn="0" w:lastColumn="0" w:noHBand="0" w:noVBand="1"/>
      </w:tblPr>
      <w:tblGrid>
        <w:gridCol w:w="2320"/>
        <w:gridCol w:w="940"/>
        <w:gridCol w:w="720"/>
        <w:gridCol w:w="1120"/>
        <w:gridCol w:w="1220"/>
        <w:gridCol w:w="1700"/>
        <w:gridCol w:w="940"/>
        <w:gridCol w:w="720"/>
        <w:gridCol w:w="1120"/>
      </w:tblGrid>
      <w:tr w:rsidR="006E4B3A" w:rsidRPr="00A03CB5" w14:paraId="3E2C7CC8" w14:textId="77777777">
        <w:trPr>
          <w:trHeight w:val="320"/>
        </w:trPr>
        <w:tc>
          <w:tcPr>
            <w:tcW w:w="10800" w:type="dxa"/>
            <w:gridSpan w:val="9"/>
            <w:tcBorders>
              <w:top w:val="nil"/>
              <w:left w:val="nil"/>
              <w:bottom w:val="single" w:sz="4" w:space="0" w:color="000000"/>
              <w:right w:val="nil"/>
            </w:tcBorders>
            <w:shd w:val="clear" w:color="auto" w:fill="auto"/>
            <w:vAlign w:val="bottom"/>
          </w:tcPr>
          <w:p w14:paraId="18EC595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lastRenderedPageBreak/>
              <w:t>Table 4. Generalized linear mixed effects models examining concurrent and prospective associations between FA and food sources and preparation</w:t>
            </w:r>
          </w:p>
        </w:tc>
      </w:tr>
      <w:tr w:rsidR="006E4B3A" w:rsidRPr="00A03CB5" w14:paraId="218A4938" w14:textId="77777777">
        <w:trPr>
          <w:trHeight w:val="320"/>
        </w:trPr>
        <w:tc>
          <w:tcPr>
            <w:tcW w:w="2320" w:type="dxa"/>
            <w:tcBorders>
              <w:top w:val="single" w:sz="4" w:space="0" w:color="000000"/>
              <w:left w:val="nil"/>
              <w:right w:val="nil"/>
            </w:tcBorders>
            <w:shd w:val="clear" w:color="auto" w:fill="auto"/>
            <w:vAlign w:val="bottom"/>
          </w:tcPr>
          <w:p w14:paraId="4BBBC924" w14:textId="77777777" w:rsidR="006E4B3A" w:rsidRPr="00A03CB5" w:rsidRDefault="006E4B3A">
            <w:pPr>
              <w:spacing w:line="240" w:lineRule="auto"/>
              <w:rPr>
                <w:rFonts w:ascii="Times New Roman" w:eastAsia="Times New Roman" w:hAnsi="Times New Roman" w:cs="Times New Roman"/>
                <w:sz w:val="24"/>
                <w:szCs w:val="24"/>
              </w:rPr>
            </w:pPr>
          </w:p>
        </w:tc>
        <w:tc>
          <w:tcPr>
            <w:tcW w:w="2780" w:type="dxa"/>
            <w:gridSpan w:val="3"/>
            <w:tcBorders>
              <w:top w:val="single" w:sz="4" w:space="0" w:color="000000"/>
              <w:left w:val="nil"/>
              <w:right w:val="nil"/>
            </w:tcBorders>
            <w:shd w:val="clear" w:color="auto" w:fill="auto"/>
            <w:vAlign w:val="bottom"/>
          </w:tcPr>
          <w:p w14:paraId="7E2044A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Concurrent model</w:t>
            </w:r>
          </w:p>
        </w:tc>
        <w:tc>
          <w:tcPr>
            <w:tcW w:w="1220" w:type="dxa"/>
            <w:tcBorders>
              <w:top w:val="single" w:sz="4" w:space="0" w:color="000000"/>
              <w:left w:val="nil"/>
              <w:bottom w:val="nil"/>
              <w:right w:val="nil"/>
            </w:tcBorders>
            <w:shd w:val="clear" w:color="auto" w:fill="auto"/>
            <w:vAlign w:val="bottom"/>
          </w:tcPr>
          <w:p w14:paraId="36F71EC0" w14:textId="77777777" w:rsidR="006E4B3A" w:rsidRPr="00A03CB5" w:rsidRDefault="006E4B3A">
            <w:pPr>
              <w:spacing w:line="240" w:lineRule="auto"/>
              <w:rPr>
                <w:rFonts w:ascii="Times New Roman" w:eastAsia="Times New Roman" w:hAnsi="Times New Roman" w:cs="Times New Roman"/>
                <w:sz w:val="24"/>
                <w:szCs w:val="24"/>
              </w:rPr>
            </w:pPr>
          </w:p>
        </w:tc>
        <w:tc>
          <w:tcPr>
            <w:tcW w:w="4480" w:type="dxa"/>
            <w:gridSpan w:val="4"/>
            <w:tcBorders>
              <w:top w:val="single" w:sz="4" w:space="0" w:color="000000"/>
              <w:left w:val="nil"/>
              <w:right w:val="nil"/>
            </w:tcBorders>
            <w:shd w:val="clear" w:color="auto" w:fill="auto"/>
            <w:vAlign w:val="bottom"/>
          </w:tcPr>
          <w:p w14:paraId="4163824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Prospective model</w:t>
            </w:r>
          </w:p>
        </w:tc>
      </w:tr>
      <w:tr w:rsidR="006E4B3A" w:rsidRPr="00A03CB5" w14:paraId="20FE6777" w14:textId="77777777">
        <w:trPr>
          <w:trHeight w:val="320"/>
        </w:trPr>
        <w:tc>
          <w:tcPr>
            <w:tcW w:w="2320" w:type="dxa"/>
            <w:tcBorders>
              <w:top w:val="nil"/>
              <w:left w:val="nil"/>
              <w:bottom w:val="single" w:sz="4" w:space="0" w:color="000000"/>
              <w:right w:val="nil"/>
            </w:tcBorders>
            <w:shd w:val="clear" w:color="auto" w:fill="auto"/>
            <w:vAlign w:val="bottom"/>
          </w:tcPr>
          <w:p w14:paraId="5127B83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STQ total</w:t>
            </w:r>
          </w:p>
        </w:tc>
        <w:tc>
          <w:tcPr>
            <w:tcW w:w="940" w:type="dxa"/>
            <w:tcBorders>
              <w:top w:val="nil"/>
              <w:left w:val="nil"/>
              <w:bottom w:val="single" w:sz="4" w:space="0" w:color="000000"/>
              <w:right w:val="nil"/>
            </w:tcBorders>
            <w:shd w:val="clear" w:color="auto" w:fill="auto"/>
            <w:vAlign w:val="bottom"/>
          </w:tcPr>
          <w:p w14:paraId="7BD406A0"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B</w:t>
            </w:r>
          </w:p>
        </w:tc>
        <w:tc>
          <w:tcPr>
            <w:tcW w:w="720" w:type="dxa"/>
            <w:tcBorders>
              <w:top w:val="nil"/>
              <w:left w:val="nil"/>
              <w:bottom w:val="single" w:sz="4" w:space="0" w:color="000000"/>
              <w:right w:val="nil"/>
            </w:tcBorders>
            <w:shd w:val="clear" w:color="auto" w:fill="auto"/>
            <w:vAlign w:val="bottom"/>
          </w:tcPr>
          <w:p w14:paraId="100F1BBE"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SE</w:t>
            </w:r>
          </w:p>
        </w:tc>
        <w:tc>
          <w:tcPr>
            <w:tcW w:w="1120" w:type="dxa"/>
            <w:tcBorders>
              <w:top w:val="nil"/>
              <w:left w:val="nil"/>
              <w:bottom w:val="single" w:sz="4" w:space="0" w:color="000000"/>
              <w:right w:val="nil"/>
            </w:tcBorders>
            <w:shd w:val="clear" w:color="auto" w:fill="auto"/>
            <w:vAlign w:val="bottom"/>
          </w:tcPr>
          <w:p w14:paraId="2EA805FE" w14:textId="77777777" w:rsidR="006E4B3A" w:rsidRPr="00A03CB5" w:rsidRDefault="00000000">
            <w:pPr>
              <w:spacing w:line="240" w:lineRule="auto"/>
              <w:jc w:val="center"/>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p</w:t>
            </w:r>
          </w:p>
        </w:tc>
        <w:tc>
          <w:tcPr>
            <w:tcW w:w="1220" w:type="dxa"/>
            <w:tcBorders>
              <w:top w:val="nil"/>
              <w:left w:val="nil"/>
              <w:bottom w:val="nil"/>
              <w:right w:val="nil"/>
            </w:tcBorders>
            <w:shd w:val="clear" w:color="auto" w:fill="auto"/>
            <w:vAlign w:val="bottom"/>
          </w:tcPr>
          <w:p w14:paraId="7EFA9D10" w14:textId="77777777" w:rsidR="006E4B3A" w:rsidRPr="00A03CB5" w:rsidRDefault="006E4B3A">
            <w:pPr>
              <w:spacing w:line="240" w:lineRule="auto"/>
              <w:rPr>
                <w:rFonts w:ascii="Times New Roman" w:eastAsia="Times New Roman" w:hAnsi="Times New Roman" w:cs="Times New Roman"/>
                <w:i/>
                <w:sz w:val="24"/>
                <w:szCs w:val="24"/>
              </w:rPr>
            </w:pPr>
          </w:p>
        </w:tc>
        <w:tc>
          <w:tcPr>
            <w:tcW w:w="1700" w:type="dxa"/>
            <w:tcBorders>
              <w:top w:val="nil"/>
              <w:left w:val="nil"/>
              <w:bottom w:val="single" w:sz="4" w:space="0" w:color="000000"/>
              <w:right w:val="nil"/>
            </w:tcBorders>
            <w:shd w:val="clear" w:color="auto" w:fill="auto"/>
            <w:vAlign w:val="bottom"/>
          </w:tcPr>
          <w:p w14:paraId="6F686D10" w14:textId="77777777" w:rsidR="006E4B3A" w:rsidRPr="00A03CB5" w:rsidRDefault="006E4B3A">
            <w:pPr>
              <w:spacing w:line="240" w:lineRule="auto"/>
              <w:rPr>
                <w:rFonts w:ascii="Times New Roman" w:eastAsia="Times New Roman" w:hAnsi="Times New Roman" w:cs="Times New Roman"/>
                <w:i/>
                <w:sz w:val="24"/>
                <w:szCs w:val="24"/>
              </w:rPr>
            </w:pPr>
          </w:p>
        </w:tc>
        <w:tc>
          <w:tcPr>
            <w:tcW w:w="940" w:type="dxa"/>
            <w:tcBorders>
              <w:top w:val="nil"/>
              <w:left w:val="nil"/>
              <w:bottom w:val="single" w:sz="4" w:space="0" w:color="000000"/>
              <w:right w:val="nil"/>
            </w:tcBorders>
            <w:shd w:val="clear" w:color="auto" w:fill="auto"/>
            <w:vAlign w:val="bottom"/>
          </w:tcPr>
          <w:p w14:paraId="142D0191" w14:textId="77777777" w:rsidR="006E4B3A" w:rsidRPr="00A03CB5" w:rsidRDefault="00000000">
            <w:pPr>
              <w:spacing w:line="240" w:lineRule="auto"/>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B</w:t>
            </w:r>
          </w:p>
        </w:tc>
        <w:tc>
          <w:tcPr>
            <w:tcW w:w="720" w:type="dxa"/>
            <w:tcBorders>
              <w:top w:val="nil"/>
              <w:left w:val="nil"/>
              <w:bottom w:val="single" w:sz="4" w:space="0" w:color="000000"/>
              <w:right w:val="nil"/>
            </w:tcBorders>
            <w:shd w:val="clear" w:color="auto" w:fill="auto"/>
            <w:vAlign w:val="bottom"/>
          </w:tcPr>
          <w:p w14:paraId="1DA1C9CE" w14:textId="77777777" w:rsidR="006E4B3A" w:rsidRPr="00A03CB5" w:rsidRDefault="00000000">
            <w:pPr>
              <w:spacing w:line="240" w:lineRule="auto"/>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SE</w:t>
            </w:r>
          </w:p>
        </w:tc>
        <w:tc>
          <w:tcPr>
            <w:tcW w:w="1120" w:type="dxa"/>
            <w:tcBorders>
              <w:top w:val="nil"/>
              <w:left w:val="nil"/>
              <w:bottom w:val="single" w:sz="4" w:space="0" w:color="000000"/>
              <w:right w:val="nil"/>
            </w:tcBorders>
            <w:shd w:val="clear" w:color="auto" w:fill="auto"/>
            <w:vAlign w:val="bottom"/>
          </w:tcPr>
          <w:p w14:paraId="62C7AB2A" w14:textId="77777777" w:rsidR="006E4B3A" w:rsidRPr="00A03CB5" w:rsidRDefault="00000000">
            <w:pPr>
              <w:spacing w:line="240" w:lineRule="auto"/>
              <w:rPr>
                <w:rFonts w:ascii="Times New Roman" w:eastAsia="Times New Roman" w:hAnsi="Times New Roman" w:cs="Times New Roman"/>
                <w:i/>
                <w:sz w:val="24"/>
                <w:szCs w:val="24"/>
              </w:rPr>
            </w:pPr>
            <w:r w:rsidRPr="00A03CB5">
              <w:rPr>
                <w:rFonts w:ascii="Times New Roman" w:eastAsia="Times New Roman" w:hAnsi="Times New Roman" w:cs="Times New Roman"/>
                <w:i/>
                <w:sz w:val="24"/>
                <w:szCs w:val="24"/>
              </w:rPr>
              <w:t>p</w:t>
            </w:r>
          </w:p>
        </w:tc>
      </w:tr>
      <w:tr w:rsidR="006E4B3A" w:rsidRPr="00A03CB5" w14:paraId="50D97DAF" w14:textId="77777777">
        <w:trPr>
          <w:trHeight w:val="320"/>
        </w:trPr>
        <w:tc>
          <w:tcPr>
            <w:tcW w:w="2320" w:type="dxa"/>
            <w:tcBorders>
              <w:top w:val="single" w:sz="4" w:space="0" w:color="000000"/>
              <w:left w:val="nil"/>
              <w:bottom w:val="nil"/>
              <w:right w:val="nil"/>
            </w:tcBorders>
            <w:shd w:val="clear" w:color="auto" w:fill="auto"/>
            <w:vAlign w:val="bottom"/>
          </w:tcPr>
          <w:p w14:paraId="5AD407B6"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1338B5E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26.72</w:t>
            </w:r>
          </w:p>
        </w:tc>
        <w:tc>
          <w:tcPr>
            <w:tcW w:w="720" w:type="dxa"/>
            <w:tcBorders>
              <w:top w:val="single" w:sz="4" w:space="0" w:color="000000"/>
              <w:left w:val="nil"/>
              <w:bottom w:val="nil"/>
              <w:right w:val="nil"/>
            </w:tcBorders>
            <w:shd w:val="clear" w:color="auto" w:fill="auto"/>
            <w:vAlign w:val="bottom"/>
          </w:tcPr>
          <w:p w14:paraId="01A6F7C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7.00</w:t>
            </w:r>
          </w:p>
        </w:tc>
        <w:tc>
          <w:tcPr>
            <w:tcW w:w="1120" w:type="dxa"/>
            <w:tcBorders>
              <w:top w:val="single" w:sz="4" w:space="0" w:color="000000"/>
              <w:left w:val="nil"/>
              <w:bottom w:val="nil"/>
              <w:right w:val="nil"/>
            </w:tcBorders>
            <w:shd w:val="clear" w:color="auto" w:fill="auto"/>
            <w:vAlign w:val="bottom"/>
          </w:tcPr>
          <w:p w14:paraId="7D7D0C4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single" w:sz="4" w:space="0" w:color="000000"/>
              <w:left w:val="nil"/>
              <w:bottom w:val="nil"/>
              <w:right w:val="nil"/>
            </w:tcBorders>
            <w:shd w:val="clear" w:color="auto" w:fill="auto"/>
            <w:vAlign w:val="bottom"/>
          </w:tcPr>
          <w:p w14:paraId="414CB7FE"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single" w:sz="4" w:space="0" w:color="000000"/>
              <w:left w:val="nil"/>
              <w:bottom w:val="nil"/>
              <w:right w:val="nil"/>
            </w:tcBorders>
            <w:shd w:val="clear" w:color="auto" w:fill="auto"/>
            <w:vAlign w:val="bottom"/>
          </w:tcPr>
          <w:p w14:paraId="373B532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79F0FA3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39.05</w:t>
            </w:r>
          </w:p>
        </w:tc>
        <w:tc>
          <w:tcPr>
            <w:tcW w:w="720" w:type="dxa"/>
            <w:tcBorders>
              <w:top w:val="single" w:sz="4" w:space="0" w:color="000000"/>
              <w:left w:val="nil"/>
              <w:bottom w:val="nil"/>
              <w:right w:val="nil"/>
            </w:tcBorders>
            <w:shd w:val="clear" w:color="auto" w:fill="auto"/>
            <w:vAlign w:val="bottom"/>
          </w:tcPr>
          <w:p w14:paraId="2CBD13E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10.50</w:t>
            </w:r>
          </w:p>
        </w:tc>
        <w:tc>
          <w:tcPr>
            <w:tcW w:w="1120" w:type="dxa"/>
            <w:tcBorders>
              <w:top w:val="single" w:sz="4" w:space="0" w:color="000000"/>
              <w:left w:val="nil"/>
              <w:bottom w:val="nil"/>
              <w:right w:val="nil"/>
            </w:tcBorders>
            <w:shd w:val="clear" w:color="auto" w:fill="auto"/>
            <w:vAlign w:val="bottom"/>
          </w:tcPr>
          <w:p w14:paraId="6CB0AC9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r>
      <w:tr w:rsidR="006E4B3A" w:rsidRPr="00A03CB5" w14:paraId="55F5EEED" w14:textId="77777777">
        <w:trPr>
          <w:trHeight w:val="320"/>
        </w:trPr>
        <w:tc>
          <w:tcPr>
            <w:tcW w:w="2320" w:type="dxa"/>
            <w:tcBorders>
              <w:top w:val="nil"/>
              <w:left w:val="nil"/>
              <w:bottom w:val="nil"/>
              <w:right w:val="nil"/>
            </w:tcBorders>
            <w:shd w:val="clear" w:color="auto" w:fill="auto"/>
            <w:vAlign w:val="bottom"/>
          </w:tcPr>
          <w:p w14:paraId="42B78D33"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16B0A33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3.25</w:t>
            </w:r>
          </w:p>
        </w:tc>
        <w:tc>
          <w:tcPr>
            <w:tcW w:w="720" w:type="dxa"/>
            <w:tcBorders>
              <w:top w:val="nil"/>
              <w:left w:val="nil"/>
              <w:bottom w:val="nil"/>
              <w:right w:val="nil"/>
            </w:tcBorders>
            <w:shd w:val="clear" w:color="auto" w:fill="auto"/>
            <w:vAlign w:val="bottom"/>
          </w:tcPr>
          <w:p w14:paraId="1172259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1.76</w:t>
            </w:r>
          </w:p>
        </w:tc>
        <w:tc>
          <w:tcPr>
            <w:tcW w:w="1120" w:type="dxa"/>
            <w:tcBorders>
              <w:top w:val="nil"/>
              <w:left w:val="nil"/>
              <w:bottom w:val="nil"/>
              <w:right w:val="nil"/>
            </w:tcBorders>
            <w:shd w:val="clear" w:color="auto" w:fill="auto"/>
            <w:vAlign w:val="bottom"/>
          </w:tcPr>
          <w:p w14:paraId="6319A71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0.066</w:t>
            </w:r>
          </w:p>
        </w:tc>
        <w:tc>
          <w:tcPr>
            <w:tcW w:w="1220" w:type="dxa"/>
            <w:tcBorders>
              <w:top w:val="nil"/>
              <w:left w:val="nil"/>
              <w:bottom w:val="nil"/>
              <w:right w:val="nil"/>
            </w:tcBorders>
            <w:shd w:val="clear" w:color="auto" w:fill="auto"/>
            <w:vAlign w:val="bottom"/>
          </w:tcPr>
          <w:p w14:paraId="6A2BF9E4"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341E862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120E713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-0.37</w:t>
            </w:r>
          </w:p>
        </w:tc>
        <w:tc>
          <w:tcPr>
            <w:tcW w:w="720" w:type="dxa"/>
            <w:tcBorders>
              <w:top w:val="nil"/>
              <w:left w:val="nil"/>
              <w:bottom w:val="nil"/>
              <w:right w:val="nil"/>
            </w:tcBorders>
            <w:shd w:val="clear" w:color="auto" w:fill="auto"/>
            <w:vAlign w:val="bottom"/>
          </w:tcPr>
          <w:p w14:paraId="4F1966E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3.26</w:t>
            </w:r>
          </w:p>
        </w:tc>
        <w:tc>
          <w:tcPr>
            <w:tcW w:w="1120" w:type="dxa"/>
            <w:tcBorders>
              <w:top w:val="nil"/>
              <w:left w:val="nil"/>
              <w:bottom w:val="nil"/>
              <w:right w:val="nil"/>
            </w:tcBorders>
            <w:shd w:val="clear" w:color="auto" w:fill="auto"/>
            <w:vAlign w:val="bottom"/>
          </w:tcPr>
          <w:p w14:paraId="1C8C85C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0.911</w:t>
            </w:r>
          </w:p>
        </w:tc>
      </w:tr>
      <w:tr w:rsidR="006E4B3A" w:rsidRPr="00A03CB5" w14:paraId="68D95AAC" w14:textId="77777777">
        <w:trPr>
          <w:trHeight w:val="320"/>
        </w:trPr>
        <w:tc>
          <w:tcPr>
            <w:tcW w:w="2320" w:type="dxa"/>
            <w:tcBorders>
              <w:top w:val="nil"/>
              <w:left w:val="nil"/>
              <w:bottom w:val="nil"/>
              <w:right w:val="nil"/>
            </w:tcBorders>
            <w:shd w:val="clear" w:color="auto" w:fill="auto"/>
            <w:vAlign w:val="bottom"/>
          </w:tcPr>
          <w:p w14:paraId="56DBD1B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4A0833B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0.36</w:t>
            </w:r>
          </w:p>
        </w:tc>
        <w:tc>
          <w:tcPr>
            <w:tcW w:w="720" w:type="dxa"/>
            <w:tcBorders>
              <w:top w:val="nil"/>
              <w:left w:val="nil"/>
              <w:bottom w:val="nil"/>
              <w:right w:val="nil"/>
            </w:tcBorders>
            <w:shd w:val="clear" w:color="auto" w:fill="auto"/>
            <w:vAlign w:val="bottom"/>
          </w:tcPr>
          <w:p w14:paraId="37B5BB9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0.18</w:t>
            </w:r>
          </w:p>
        </w:tc>
        <w:tc>
          <w:tcPr>
            <w:tcW w:w="1120" w:type="dxa"/>
            <w:tcBorders>
              <w:top w:val="nil"/>
              <w:left w:val="nil"/>
              <w:bottom w:val="nil"/>
              <w:right w:val="nil"/>
            </w:tcBorders>
            <w:shd w:val="clear" w:color="auto" w:fill="auto"/>
            <w:vAlign w:val="bottom"/>
          </w:tcPr>
          <w:p w14:paraId="51EA793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0.042</w:t>
            </w:r>
          </w:p>
        </w:tc>
        <w:tc>
          <w:tcPr>
            <w:tcW w:w="1220" w:type="dxa"/>
            <w:tcBorders>
              <w:top w:val="nil"/>
              <w:left w:val="nil"/>
              <w:bottom w:val="nil"/>
              <w:right w:val="nil"/>
            </w:tcBorders>
            <w:shd w:val="clear" w:color="auto" w:fill="auto"/>
            <w:vAlign w:val="bottom"/>
          </w:tcPr>
          <w:p w14:paraId="2B38A891"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37A7930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32BF360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0.28</w:t>
            </w:r>
          </w:p>
        </w:tc>
        <w:tc>
          <w:tcPr>
            <w:tcW w:w="720" w:type="dxa"/>
            <w:tcBorders>
              <w:top w:val="nil"/>
              <w:left w:val="nil"/>
              <w:bottom w:val="nil"/>
              <w:right w:val="nil"/>
            </w:tcBorders>
            <w:shd w:val="clear" w:color="auto" w:fill="auto"/>
            <w:vAlign w:val="bottom"/>
          </w:tcPr>
          <w:p w14:paraId="6C895C6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0.20</w:t>
            </w:r>
          </w:p>
        </w:tc>
        <w:tc>
          <w:tcPr>
            <w:tcW w:w="1120" w:type="dxa"/>
            <w:tcBorders>
              <w:top w:val="nil"/>
              <w:left w:val="nil"/>
              <w:bottom w:val="nil"/>
              <w:right w:val="nil"/>
            </w:tcBorders>
            <w:shd w:val="clear" w:color="auto" w:fill="auto"/>
            <w:vAlign w:val="bottom"/>
          </w:tcPr>
          <w:p w14:paraId="6CAAA06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0.173</w:t>
            </w:r>
          </w:p>
        </w:tc>
      </w:tr>
      <w:tr w:rsidR="006E4B3A" w:rsidRPr="00A03CB5" w14:paraId="7A9E233E" w14:textId="77777777">
        <w:trPr>
          <w:trHeight w:val="320"/>
        </w:trPr>
        <w:tc>
          <w:tcPr>
            <w:tcW w:w="2320" w:type="dxa"/>
            <w:tcBorders>
              <w:top w:val="nil"/>
              <w:left w:val="nil"/>
              <w:bottom w:val="nil"/>
              <w:right w:val="nil"/>
            </w:tcBorders>
            <w:shd w:val="clear" w:color="auto" w:fill="auto"/>
            <w:vAlign w:val="bottom"/>
          </w:tcPr>
          <w:p w14:paraId="75787A0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29EE874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0.88</w:t>
            </w:r>
          </w:p>
        </w:tc>
        <w:tc>
          <w:tcPr>
            <w:tcW w:w="720" w:type="dxa"/>
            <w:tcBorders>
              <w:top w:val="nil"/>
              <w:left w:val="nil"/>
              <w:bottom w:val="nil"/>
              <w:right w:val="nil"/>
            </w:tcBorders>
            <w:shd w:val="clear" w:color="auto" w:fill="auto"/>
            <w:vAlign w:val="bottom"/>
          </w:tcPr>
          <w:p w14:paraId="3EC8B11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0.72</w:t>
            </w:r>
          </w:p>
        </w:tc>
        <w:tc>
          <w:tcPr>
            <w:tcW w:w="1120" w:type="dxa"/>
            <w:tcBorders>
              <w:top w:val="nil"/>
              <w:left w:val="nil"/>
              <w:bottom w:val="nil"/>
              <w:right w:val="nil"/>
            </w:tcBorders>
            <w:shd w:val="clear" w:color="auto" w:fill="auto"/>
            <w:vAlign w:val="bottom"/>
          </w:tcPr>
          <w:p w14:paraId="343EBAB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0.22</w:t>
            </w:r>
          </w:p>
        </w:tc>
        <w:tc>
          <w:tcPr>
            <w:tcW w:w="1220" w:type="dxa"/>
            <w:tcBorders>
              <w:top w:val="nil"/>
              <w:left w:val="nil"/>
              <w:bottom w:val="nil"/>
              <w:right w:val="nil"/>
            </w:tcBorders>
            <w:shd w:val="clear" w:color="auto" w:fill="auto"/>
            <w:vAlign w:val="bottom"/>
          </w:tcPr>
          <w:p w14:paraId="658CCB06"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6555A442"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218B543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0.84</w:t>
            </w:r>
          </w:p>
        </w:tc>
        <w:tc>
          <w:tcPr>
            <w:tcW w:w="720" w:type="dxa"/>
            <w:tcBorders>
              <w:top w:val="nil"/>
              <w:left w:val="nil"/>
              <w:bottom w:val="nil"/>
              <w:right w:val="nil"/>
            </w:tcBorders>
            <w:shd w:val="clear" w:color="auto" w:fill="auto"/>
            <w:vAlign w:val="bottom"/>
          </w:tcPr>
          <w:p w14:paraId="792A8C7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0.82</w:t>
            </w:r>
          </w:p>
        </w:tc>
        <w:tc>
          <w:tcPr>
            <w:tcW w:w="1120" w:type="dxa"/>
            <w:tcBorders>
              <w:top w:val="nil"/>
              <w:left w:val="nil"/>
              <w:bottom w:val="nil"/>
              <w:right w:val="nil"/>
            </w:tcBorders>
            <w:shd w:val="clear" w:color="auto" w:fill="auto"/>
            <w:vAlign w:val="bottom"/>
          </w:tcPr>
          <w:p w14:paraId="705B537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0.306</w:t>
            </w:r>
          </w:p>
        </w:tc>
      </w:tr>
      <w:tr w:rsidR="006E4B3A" w:rsidRPr="00A03CB5" w14:paraId="6713FCD1" w14:textId="77777777">
        <w:trPr>
          <w:trHeight w:val="320"/>
        </w:trPr>
        <w:tc>
          <w:tcPr>
            <w:tcW w:w="2320" w:type="dxa"/>
            <w:tcBorders>
              <w:top w:val="nil"/>
              <w:left w:val="nil"/>
              <w:bottom w:val="nil"/>
              <w:right w:val="nil"/>
            </w:tcBorders>
            <w:shd w:val="clear" w:color="auto" w:fill="auto"/>
            <w:vAlign w:val="bottom"/>
          </w:tcPr>
          <w:p w14:paraId="1FBAFD1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638BD65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1.46</w:t>
            </w:r>
          </w:p>
        </w:tc>
        <w:tc>
          <w:tcPr>
            <w:tcW w:w="720" w:type="dxa"/>
            <w:tcBorders>
              <w:top w:val="nil"/>
              <w:left w:val="nil"/>
              <w:bottom w:val="nil"/>
              <w:right w:val="nil"/>
            </w:tcBorders>
            <w:shd w:val="clear" w:color="auto" w:fill="auto"/>
            <w:vAlign w:val="bottom"/>
          </w:tcPr>
          <w:p w14:paraId="06AA749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0.40</w:t>
            </w:r>
          </w:p>
        </w:tc>
        <w:tc>
          <w:tcPr>
            <w:tcW w:w="1120" w:type="dxa"/>
            <w:tcBorders>
              <w:top w:val="nil"/>
              <w:left w:val="nil"/>
              <w:bottom w:val="nil"/>
              <w:right w:val="nil"/>
            </w:tcBorders>
            <w:shd w:val="clear" w:color="auto" w:fill="auto"/>
            <w:vAlign w:val="bottom"/>
          </w:tcPr>
          <w:p w14:paraId="5446918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nil"/>
              <w:left w:val="nil"/>
              <w:bottom w:val="nil"/>
              <w:right w:val="nil"/>
            </w:tcBorders>
            <w:shd w:val="clear" w:color="auto" w:fill="auto"/>
            <w:vAlign w:val="bottom"/>
          </w:tcPr>
          <w:p w14:paraId="324AB4E0"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7709C95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4D7F0CB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1.47</w:t>
            </w:r>
          </w:p>
        </w:tc>
        <w:tc>
          <w:tcPr>
            <w:tcW w:w="720" w:type="dxa"/>
            <w:tcBorders>
              <w:top w:val="nil"/>
              <w:left w:val="nil"/>
              <w:bottom w:val="nil"/>
              <w:right w:val="nil"/>
            </w:tcBorders>
            <w:shd w:val="clear" w:color="auto" w:fill="auto"/>
            <w:vAlign w:val="bottom"/>
          </w:tcPr>
          <w:p w14:paraId="1E18969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0.50</w:t>
            </w:r>
          </w:p>
        </w:tc>
        <w:tc>
          <w:tcPr>
            <w:tcW w:w="1120" w:type="dxa"/>
            <w:tcBorders>
              <w:top w:val="nil"/>
              <w:left w:val="nil"/>
              <w:bottom w:val="nil"/>
              <w:right w:val="nil"/>
            </w:tcBorders>
            <w:shd w:val="clear" w:color="auto" w:fill="auto"/>
            <w:vAlign w:val="bottom"/>
          </w:tcPr>
          <w:p w14:paraId="3055CFD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0.004</w:t>
            </w:r>
          </w:p>
        </w:tc>
      </w:tr>
      <w:tr w:rsidR="006E4B3A" w:rsidRPr="00A03CB5" w14:paraId="21E37D2B" w14:textId="77777777">
        <w:trPr>
          <w:trHeight w:val="320"/>
        </w:trPr>
        <w:tc>
          <w:tcPr>
            <w:tcW w:w="2320" w:type="dxa"/>
            <w:tcBorders>
              <w:top w:val="nil"/>
              <w:left w:val="nil"/>
              <w:bottom w:val="nil"/>
              <w:right w:val="nil"/>
            </w:tcBorders>
            <w:shd w:val="clear" w:color="auto" w:fill="auto"/>
            <w:vAlign w:val="bottom"/>
          </w:tcPr>
          <w:p w14:paraId="04D6CC3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(within)</w:t>
            </w:r>
          </w:p>
        </w:tc>
        <w:tc>
          <w:tcPr>
            <w:tcW w:w="940" w:type="dxa"/>
            <w:tcBorders>
              <w:top w:val="nil"/>
              <w:left w:val="nil"/>
              <w:bottom w:val="nil"/>
              <w:right w:val="nil"/>
            </w:tcBorders>
            <w:shd w:val="clear" w:color="auto" w:fill="auto"/>
            <w:vAlign w:val="bottom"/>
          </w:tcPr>
          <w:p w14:paraId="3F65689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1.25</w:t>
            </w:r>
          </w:p>
        </w:tc>
        <w:tc>
          <w:tcPr>
            <w:tcW w:w="720" w:type="dxa"/>
            <w:tcBorders>
              <w:top w:val="nil"/>
              <w:left w:val="nil"/>
              <w:bottom w:val="nil"/>
              <w:right w:val="nil"/>
            </w:tcBorders>
            <w:shd w:val="clear" w:color="auto" w:fill="auto"/>
            <w:vAlign w:val="bottom"/>
          </w:tcPr>
          <w:p w14:paraId="306975E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0.26</w:t>
            </w:r>
          </w:p>
        </w:tc>
        <w:tc>
          <w:tcPr>
            <w:tcW w:w="1120" w:type="dxa"/>
            <w:tcBorders>
              <w:top w:val="nil"/>
              <w:left w:val="nil"/>
              <w:bottom w:val="nil"/>
              <w:right w:val="nil"/>
            </w:tcBorders>
            <w:shd w:val="clear" w:color="auto" w:fill="auto"/>
            <w:vAlign w:val="bottom"/>
          </w:tcPr>
          <w:p w14:paraId="58DD79C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nil"/>
              <w:left w:val="nil"/>
              <w:bottom w:val="nil"/>
              <w:right w:val="nil"/>
            </w:tcBorders>
            <w:shd w:val="clear" w:color="auto" w:fill="auto"/>
            <w:vAlign w:val="bottom"/>
          </w:tcPr>
          <w:p w14:paraId="4395DD73"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675D5EEA"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Prior FA (within)</w:t>
            </w:r>
          </w:p>
        </w:tc>
        <w:tc>
          <w:tcPr>
            <w:tcW w:w="940" w:type="dxa"/>
            <w:tcBorders>
              <w:top w:val="nil"/>
              <w:left w:val="nil"/>
              <w:bottom w:val="nil"/>
              <w:right w:val="nil"/>
            </w:tcBorders>
            <w:shd w:val="clear" w:color="auto" w:fill="auto"/>
            <w:vAlign w:val="bottom"/>
          </w:tcPr>
          <w:p w14:paraId="040F248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720" w:type="dxa"/>
            <w:tcBorders>
              <w:top w:val="nil"/>
              <w:left w:val="nil"/>
              <w:bottom w:val="nil"/>
              <w:right w:val="nil"/>
            </w:tcBorders>
            <w:shd w:val="clear" w:color="auto" w:fill="auto"/>
            <w:vAlign w:val="bottom"/>
          </w:tcPr>
          <w:p w14:paraId="53FA247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0.37</w:t>
            </w:r>
          </w:p>
        </w:tc>
        <w:tc>
          <w:tcPr>
            <w:tcW w:w="1120" w:type="dxa"/>
            <w:tcBorders>
              <w:top w:val="nil"/>
              <w:left w:val="nil"/>
              <w:bottom w:val="nil"/>
              <w:right w:val="nil"/>
            </w:tcBorders>
            <w:shd w:val="clear" w:color="auto" w:fill="auto"/>
            <w:vAlign w:val="bottom"/>
          </w:tcPr>
          <w:p w14:paraId="3E56C57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0.943</w:t>
            </w:r>
          </w:p>
        </w:tc>
      </w:tr>
      <w:tr w:rsidR="006E4B3A" w:rsidRPr="00A03CB5" w14:paraId="3F2E4D1E" w14:textId="77777777">
        <w:trPr>
          <w:trHeight w:val="320"/>
        </w:trPr>
        <w:tc>
          <w:tcPr>
            <w:tcW w:w="2320" w:type="dxa"/>
            <w:tcBorders>
              <w:top w:val="nil"/>
              <w:left w:val="nil"/>
              <w:bottom w:val="nil"/>
              <w:right w:val="nil"/>
            </w:tcBorders>
            <w:shd w:val="clear" w:color="auto" w:fill="auto"/>
            <w:vAlign w:val="bottom"/>
          </w:tcPr>
          <w:p w14:paraId="2F45A0E8"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1D3AA64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6E0A660F"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1FFA2CF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nil"/>
              <w:right w:val="nil"/>
            </w:tcBorders>
            <w:shd w:val="clear" w:color="auto" w:fill="auto"/>
            <w:vAlign w:val="bottom"/>
          </w:tcPr>
          <w:p w14:paraId="5B9C89CD"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1F5F578A"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27AE0959"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5AA9685B"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301560C6"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36E07BFD" w14:textId="77777777">
        <w:trPr>
          <w:trHeight w:val="320"/>
        </w:trPr>
        <w:tc>
          <w:tcPr>
            <w:tcW w:w="2320" w:type="dxa"/>
            <w:tcBorders>
              <w:top w:val="nil"/>
              <w:left w:val="nil"/>
              <w:bottom w:val="single" w:sz="4" w:space="0" w:color="000000"/>
              <w:right w:val="nil"/>
            </w:tcBorders>
            <w:shd w:val="clear" w:color="auto" w:fill="auto"/>
            <w:vAlign w:val="bottom"/>
          </w:tcPr>
          <w:p w14:paraId="6E5152C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SQHPF total</w:t>
            </w:r>
          </w:p>
        </w:tc>
        <w:tc>
          <w:tcPr>
            <w:tcW w:w="940" w:type="dxa"/>
            <w:tcBorders>
              <w:top w:val="nil"/>
              <w:left w:val="nil"/>
              <w:bottom w:val="single" w:sz="4" w:space="0" w:color="000000"/>
              <w:right w:val="nil"/>
            </w:tcBorders>
            <w:shd w:val="clear" w:color="auto" w:fill="auto"/>
            <w:vAlign w:val="bottom"/>
          </w:tcPr>
          <w:p w14:paraId="40E1CF86"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single" w:sz="4" w:space="0" w:color="000000"/>
              <w:right w:val="nil"/>
            </w:tcBorders>
            <w:shd w:val="clear" w:color="auto" w:fill="auto"/>
            <w:vAlign w:val="bottom"/>
          </w:tcPr>
          <w:p w14:paraId="31E30DBD"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6E92DF21"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single" w:sz="4" w:space="0" w:color="000000"/>
              <w:right w:val="nil"/>
            </w:tcBorders>
            <w:shd w:val="clear" w:color="auto" w:fill="auto"/>
            <w:vAlign w:val="bottom"/>
          </w:tcPr>
          <w:p w14:paraId="1386DC2B"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single" w:sz="4" w:space="0" w:color="000000"/>
              <w:right w:val="nil"/>
            </w:tcBorders>
            <w:shd w:val="clear" w:color="auto" w:fill="auto"/>
            <w:vAlign w:val="bottom"/>
          </w:tcPr>
          <w:p w14:paraId="37B915BE"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single" w:sz="4" w:space="0" w:color="000000"/>
              <w:right w:val="nil"/>
            </w:tcBorders>
            <w:shd w:val="clear" w:color="auto" w:fill="auto"/>
            <w:vAlign w:val="bottom"/>
          </w:tcPr>
          <w:p w14:paraId="5283F5B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single" w:sz="4" w:space="0" w:color="000000"/>
              <w:right w:val="nil"/>
            </w:tcBorders>
            <w:shd w:val="clear" w:color="auto" w:fill="auto"/>
            <w:vAlign w:val="bottom"/>
          </w:tcPr>
          <w:p w14:paraId="2B7713BA"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123C85AA"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36259743" w14:textId="77777777">
        <w:trPr>
          <w:trHeight w:val="320"/>
        </w:trPr>
        <w:tc>
          <w:tcPr>
            <w:tcW w:w="2320" w:type="dxa"/>
            <w:tcBorders>
              <w:top w:val="single" w:sz="4" w:space="0" w:color="000000"/>
              <w:left w:val="nil"/>
              <w:bottom w:val="nil"/>
              <w:right w:val="nil"/>
            </w:tcBorders>
            <w:shd w:val="clear" w:color="auto" w:fill="auto"/>
            <w:vAlign w:val="bottom"/>
          </w:tcPr>
          <w:p w14:paraId="5D01595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17CD8D4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7.83</w:t>
            </w:r>
          </w:p>
        </w:tc>
        <w:tc>
          <w:tcPr>
            <w:tcW w:w="720" w:type="dxa"/>
            <w:tcBorders>
              <w:top w:val="single" w:sz="4" w:space="0" w:color="000000"/>
              <w:left w:val="nil"/>
              <w:bottom w:val="nil"/>
              <w:right w:val="nil"/>
            </w:tcBorders>
            <w:shd w:val="clear" w:color="auto" w:fill="auto"/>
            <w:vAlign w:val="bottom"/>
          </w:tcPr>
          <w:p w14:paraId="43B12CB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1.28</w:t>
            </w:r>
          </w:p>
        </w:tc>
        <w:tc>
          <w:tcPr>
            <w:tcW w:w="1120" w:type="dxa"/>
            <w:tcBorders>
              <w:top w:val="single" w:sz="4" w:space="0" w:color="000000"/>
              <w:left w:val="nil"/>
              <w:bottom w:val="nil"/>
              <w:right w:val="nil"/>
            </w:tcBorders>
            <w:shd w:val="clear" w:color="auto" w:fill="auto"/>
            <w:vAlign w:val="bottom"/>
          </w:tcPr>
          <w:p w14:paraId="7F0C449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single" w:sz="4" w:space="0" w:color="000000"/>
              <w:left w:val="nil"/>
              <w:bottom w:val="nil"/>
              <w:right w:val="nil"/>
            </w:tcBorders>
            <w:shd w:val="clear" w:color="auto" w:fill="auto"/>
            <w:vAlign w:val="bottom"/>
          </w:tcPr>
          <w:p w14:paraId="14B10B5C"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single" w:sz="4" w:space="0" w:color="000000"/>
              <w:left w:val="nil"/>
              <w:bottom w:val="nil"/>
              <w:right w:val="nil"/>
            </w:tcBorders>
            <w:shd w:val="clear" w:color="auto" w:fill="auto"/>
            <w:vAlign w:val="bottom"/>
          </w:tcPr>
          <w:p w14:paraId="670D977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0F78C8A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6.51</w:t>
            </w:r>
          </w:p>
        </w:tc>
        <w:tc>
          <w:tcPr>
            <w:tcW w:w="720" w:type="dxa"/>
            <w:tcBorders>
              <w:top w:val="single" w:sz="4" w:space="0" w:color="000000"/>
              <w:left w:val="nil"/>
              <w:bottom w:val="nil"/>
              <w:right w:val="nil"/>
            </w:tcBorders>
            <w:shd w:val="clear" w:color="auto" w:fill="auto"/>
            <w:vAlign w:val="bottom"/>
          </w:tcPr>
          <w:p w14:paraId="27B5DA3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2.09</w:t>
            </w:r>
          </w:p>
        </w:tc>
        <w:tc>
          <w:tcPr>
            <w:tcW w:w="1120" w:type="dxa"/>
            <w:tcBorders>
              <w:top w:val="single" w:sz="4" w:space="0" w:color="000000"/>
              <w:left w:val="nil"/>
              <w:bottom w:val="nil"/>
              <w:right w:val="nil"/>
            </w:tcBorders>
            <w:shd w:val="clear" w:color="auto" w:fill="auto"/>
            <w:vAlign w:val="bottom"/>
          </w:tcPr>
          <w:p w14:paraId="0681A1B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0.002</w:t>
            </w:r>
          </w:p>
        </w:tc>
      </w:tr>
      <w:tr w:rsidR="006E4B3A" w:rsidRPr="00A03CB5" w14:paraId="35B7CA4B" w14:textId="77777777">
        <w:trPr>
          <w:trHeight w:val="320"/>
        </w:trPr>
        <w:tc>
          <w:tcPr>
            <w:tcW w:w="2320" w:type="dxa"/>
            <w:tcBorders>
              <w:top w:val="nil"/>
              <w:left w:val="nil"/>
              <w:bottom w:val="nil"/>
              <w:right w:val="nil"/>
            </w:tcBorders>
            <w:shd w:val="clear" w:color="auto" w:fill="auto"/>
            <w:vAlign w:val="bottom"/>
          </w:tcPr>
          <w:p w14:paraId="5B28BE8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45213A8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-0.67</w:t>
            </w:r>
          </w:p>
        </w:tc>
        <w:tc>
          <w:tcPr>
            <w:tcW w:w="720" w:type="dxa"/>
            <w:tcBorders>
              <w:top w:val="nil"/>
              <w:left w:val="nil"/>
              <w:bottom w:val="nil"/>
              <w:right w:val="nil"/>
            </w:tcBorders>
            <w:shd w:val="clear" w:color="auto" w:fill="auto"/>
            <w:vAlign w:val="bottom"/>
          </w:tcPr>
          <w:p w14:paraId="26CFE4F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0.32</w:t>
            </w:r>
          </w:p>
        </w:tc>
        <w:tc>
          <w:tcPr>
            <w:tcW w:w="1120" w:type="dxa"/>
            <w:tcBorders>
              <w:top w:val="nil"/>
              <w:left w:val="nil"/>
              <w:bottom w:val="nil"/>
              <w:right w:val="nil"/>
            </w:tcBorders>
            <w:shd w:val="clear" w:color="auto" w:fill="auto"/>
            <w:vAlign w:val="bottom"/>
          </w:tcPr>
          <w:p w14:paraId="109015A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0.036</w:t>
            </w:r>
          </w:p>
        </w:tc>
        <w:tc>
          <w:tcPr>
            <w:tcW w:w="1220" w:type="dxa"/>
            <w:tcBorders>
              <w:top w:val="nil"/>
              <w:left w:val="nil"/>
              <w:bottom w:val="nil"/>
              <w:right w:val="nil"/>
            </w:tcBorders>
            <w:shd w:val="clear" w:color="auto" w:fill="auto"/>
            <w:vAlign w:val="bottom"/>
          </w:tcPr>
          <w:p w14:paraId="029C52F0"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4226606F"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554E525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-0.47</w:t>
            </w:r>
          </w:p>
        </w:tc>
        <w:tc>
          <w:tcPr>
            <w:tcW w:w="720" w:type="dxa"/>
            <w:tcBorders>
              <w:top w:val="nil"/>
              <w:left w:val="nil"/>
              <w:bottom w:val="nil"/>
              <w:right w:val="nil"/>
            </w:tcBorders>
            <w:shd w:val="clear" w:color="auto" w:fill="auto"/>
            <w:vAlign w:val="bottom"/>
          </w:tcPr>
          <w:p w14:paraId="38BA10E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0.65</w:t>
            </w:r>
          </w:p>
        </w:tc>
        <w:tc>
          <w:tcPr>
            <w:tcW w:w="1120" w:type="dxa"/>
            <w:tcBorders>
              <w:top w:val="nil"/>
              <w:left w:val="nil"/>
              <w:bottom w:val="nil"/>
              <w:right w:val="nil"/>
            </w:tcBorders>
            <w:shd w:val="clear" w:color="auto" w:fill="auto"/>
            <w:vAlign w:val="bottom"/>
          </w:tcPr>
          <w:p w14:paraId="5526347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0.464</w:t>
            </w:r>
          </w:p>
        </w:tc>
      </w:tr>
      <w:tr w:rsidR="006E4B3A" w:rsidRPr="00A03CB5" w14:paraId="310BF0BF" w14:textId="77777777">
        <w:trPr>
          <w:trHeight w:val="320"/>
        </w:trPr>
        <w:tc>
          <w:tcPr>
            <w:tcW w:w="2320" w:type="dxa"/>
            <w:tcBorders>
              <w:top w:val="nil"/>
              <w:left w:val="nil"/>
              <w:bottom w:val="nil"/>
              <w:right w:val="nil"/>
            </w:tcBorders>
            <w:shd w:val="clear" w:color="auto" w:fill="auto"/>
            <w:vAlign w:val="bottom"/>
          </w:tcPr>
          <w:p w14:paraId="66D86BE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17B0296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0.04</w:t>
            </w:r>
          </w:p>
        </w:tc>
        <w:tc>
          <w:tcPr>
            <w:tcW w:w="720" w:type="dxa"/>
            <w:tcBorders>
              <w:top w:val="nil"/>
              <w:left w:val="nil"/>
              <w:bottom w:val="nil"/>
              <w:right w:val="nil"/>
            </w:tcBorders>
            <w:shd w:val="clear" w:color="auto" w:fill="auto"/>
            <w:vAlign w:val="bottom"/>
          </w:tcPr>
          <w:p w14:paraId="5C32106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1120" w:type="dxa"/>
            <w:tcBorders>
              <w:top w:val="nil"/>
              <w:left w:val="nil"/>
              <w:bottom w:val="nil"/>
              <w:right w:val="nil"/>
            </w:tcBorders>
            <w:shd w:val="clear" w:color="auto" w:fill="auto"/>
            <w:vAlign w:val="bottom"/>
          </w:tcPr>
          <w:p w14:paraId="07ABA55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0.266</w:t>
            </w:r>
          </w:p>
        </w:tc>
        <w:tc>
          <w:tcPr>
            <w:tcW w:w="1220" w:type="dxa"/>
            <w:tcBorders>
              <w:top w:val="nil"/>
              <w:left w:val="nil"/>
              <w:bottom w:val="nil"/>
              <w:right w:val="nil"/>
            </w:tcBorders>
            <w:shd w:val="clear" w:color="auto" w:fill="auto"/>
            <w:vAlign w:val="bottom"/>
          </w:tcPr>
          <w:p w14:paraId="5EF2F2B7"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295636D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6B82A03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720" w:type="dxa"/>
            <w:tcBorders>
              <w:top w:val="nil"/>
              <w:left w:val="nil"/>
              <w:bottom w:val="nil"/>
              <w:right w:val="nil"/>
            </w:tcBorders>
            <w:shd w:val="clear" w:color="auto" w:fill="auto"/>
            <w:vAlign w:val="bottom"/>
          </w:tcPr>
          <w:p w14:paraId="0D4903B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0.04</w:t>
            </w:r>
          </w:p>
        </w:tc>
        <w:tc>
          <w:tcPr>
            <w:tcW w:w="1120" w:type="dxa"/>
            <w:tcBorders>
              <w:top w:val="nil"/>
              <w:left w:val="nil"/>
              <w:bottom w:val="nil"/>
              <w:right w:val="nil"/>
            </w:tcBorders>
            <w:shd w:val="clear" w:color="auto" w:fill="auto"/>
            <w:vAlign w:val="bottom"/>
          </w:tcPr>
          <w:p w14:paraId="45217ED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0.212</w:t>
            </w:r>
          </w:p>
        </w:tc>
      </w:tr>
      <w:tr w:rsidR="006E4B3A" w:rsidRPr="00A03CB5" w14:paraId="702FE467" w14:textId="77777777">
        <w:trPr>
          <w:trHeight w:val="320"/>
        </w:trPr>
        <w:tc>
          <w:tcPr>
            <w:tcW w:w="2320" w:type="dxa"/>
            <w:tcBorders>
              <w:top w:val="nil"/>
              <w:left w:val="nil"/>
              <w:bottom w:val="nil"/>
              <w:right w:val="nil"/>
            </w:tcBorders>
            <w:shd w:val="clear" w:color="auto" w:fill="auto"/>
            <w:vAlign w:val="bottom"/>
          </w:tcPr>
          <w:p w14:paraId="321FA5C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0327ADB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0.15</w:t>
            </w:r>
          </w:p>
        </w:tc>
        <w:tc>
          <w:tcPr>
            <w:tcW w:w="720" w:type="dxa"/>
            <w:tcBorders>
              <w:top w:val="nil"/>
              <w:left w:val="nil"/>
              <w:bottom w:val="nil"/>
              <w:right w:val="nil"/>
            </w:tcBorders>
            <w:shd w:val="clear" w:color="auto" w:fill="auto"/>
            <w:vAlign w:val="bottom"/>
          </w:tcPr>
          <w:p w14:paraId="243F367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0.13</w:t>
            </w:r>
          </w:p>
        </w:tc>
        <w:tc>
          <w:tcPr>
            <w:tcW w:w="1120" w:type="dxa"/>
            <w:tcBorders>
              <w:top w:val="nil"/>
              <w:left w:val="nil"/>
              <w:bottom w:val="nil"/>
              <w:right w:val="nil"/>
            </w:tcBorders>
            <w:shd w:val="clear" w:color="auto" w:fill="auto"/>
            <w:vAlign w:val="bottom"/>
          </w:tcPr>
          <w:p w14:paraId="2818706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0.251</w:t>
            </w:r>
          </w:p>
        </w:tc>
        <w:tc>
          <w:tcPr>
            <w:tcW w:w="1220" w:type="dxa"/>
            <w:tcBorders>
              <w:top w:val="nil"/>
              <w:left w:val="nil"/>
              <w:bottom w:val="nil"/>
              <w:right w:val="nil"/>
            </w:tcBorders>
            <w:shd w:val="clear" w:color="auto" w:fill="auto"/>
            <w:vAlign w:val="bottom"/>
          </w:tcPr>
          <w:p w14:paraId="4C9D3114"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4570AA4D"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0E42243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0.19</w:t>
            </w:r>
          </w:p>
        </w:tc>
        <w:tc>
          <w:tcPr>
            <w:tcW w:w="720" w:type="dxa"/>
            <w:tcBorders>
              <w:top w:val="nil"/>
              <w:left w:val="nil"/>
              <w:bottom w:val="nil"/>
              <w:right w:val="nil"/>
            </w:tcBorders>
            <w:shd w:val="clear" w:color="auto" w:fill="auto"/>
            <w:vAlign w:val="bottom"/>
          </w:tcPr>
          <w:p w14:paraId="1A7510F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0.16</w:t>
            </w:r>
          </w:p>
        </w:tc>
        <w:tc>
          <w:tcPr>
            <w:tcW w:w="1120" w:type="dxa"/>
            <w:tcBorders>
              <w:top w:val="nil"/>
              <w:left w:val="nil"/>
              <w:bottom w:val="nil"/>
              <w:right w:val="nil"/>
            </w:tcBorders>
            <w:shd w:val="clear" w:color="auto" w:fill="auto"/>
            <w:vAlign w:val="bottom"/>
          </w:tcPr>
          <w:p w14:paraId="18181D7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0.243</w:t>
            </w:r>
          </w:p>
        </w:tc>
      </w:tr>
      <w:tr w:rsidR="006E4B3A" w:rsidRPr="00A03CB5" w14:paraId="613ADED7" w14:textId="77777777">
        <w:trPr>
          <w:trHeight w:val="320"/>
        </w:trPr>
        <w:tc>
          <w:tcPr>
            <w:tcW w:w="2320" w:type="dxa"/>
            <w:tcBorders>
              <w:top w:val="nil"/>
              <w:left w:val="nil"/>
              <w:bottom w:val="nil"/>
              <w:right w:val="nil"/>
            </w:tcBorders>
            <w:shd w:val="clear" w:color="auto" w:fill="auto"/>
            <w:vAlign w:val="bottom"/>
          </w:tcPr>
          <w:p w14:paraId="785A32C2"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375A398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0.19</w:t>
            </w:r>
          </w:p>
        </w:tc>
        <w:tc>
          <w:tcPr>
            <w:tcW w:w="720" w:type="dxa"/>
            <w:tcBorders>
              <w:top w:val="nil"/>
              <w:left w:val="nil"/>
              <w:bottom w:val="nil"/>
              <w:right w:val="nil"/>
            </w:tcBorders>
            <w:shd w:val="clear" w:color="auto" w:fill="auto"/>
            <w:vAlign w:val="bottom"/>
          </w:tcPr>
          <w:p w14:paraId="1B5DF66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0.07</w:t>
            </w:r>
          </w:p>
        </w:tc>
        <w:tc>
          <w:tcPr>
            <w:tcW w:w="1120" w:type="dxa"/>
            <w:tcBorders>
              <w:top w:val="nil"/>
              <w:left w:val="nil"/>
              <w:bottom w:val="nil"/>
              <w:right w:val="nil"/>
            </w:tcBorders>
            <w:shd w:val="clear" w:color="auto" w:fill="auto"/>
            <w:vAlign w:val="bottom"/>
          </w:tcPr>
          <w:p w14:paraId="7EC227F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0.009</w:t>
            </w:r>
          </w:p>
        </w:tc>
        <w:tc>
          <w:tcPr>
            <w:tcW w:w="1220" w:type="dxa"/>
            <w:tcBorders>
              <w:top w:val="nil"/>
              <w:left w:val="nil"/>
              <w:bottom w:val="nil"/>
              <w:right w:val="nil"/>
            </w:tcBorders>
            <w:shd w:val="clear" w:color="auto" w:fill="auto"/>
            <w:vAlign w:val="bottom"/>
          </w:tcPr>
          <w:p w14:paraId="79839C5F"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4912D58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7296A75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0.28</w:t>
            </w:r>
          </w:p>
        </w:tc>
        <w:tc>
          <w:tcPr>
            <w:tcW w:w="720" w:type="dxa"/>
            <w:tcBorders>
              <w:top w:val="nil"/>
              <w:left w:val="nil"/>
              <w:bottom w:val="nil"/>
              <w:right w:val="nil"/>
            </w:tcBorders>
            <w:shd w:val="clear" w:color="auto" w:fill="auto"/>
            <w:vAlign w:val="bottom"/>
          </w:tcPr>
          <w:p w14:paraId="189E5B6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0.10</w:t>
            </w:r>
          </w:p>
        </w:tc>
        <w:tc>
          <w:tcPr>
            <w:tcW w:w="1120" w:type="dxa"/>
            <w:tcBorders>
              <w:top w:val="nil"/>
              <w:left w:val="nil"/>
              <w:bottom w:val="nil"/>
              <w:right w:val="nil"/>
            </w:tcBorders>
            <w:shd w:val="clear" w:color="auto" w:fill="auto"/>
            <w:vAlign w:val="bottom"/>
          </w:tcPr>
          <w:p w14:paraId="0E25F52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0.006</w:t>
            </w:r>
          </w:p>
        </w:tc>
      </w:tr>
      <w:tr w:rsidR="006E4B3A" w:rsidRPr="00A03CB5" w14:paraId="41280140" w14:textId="77777777">
        <w:trPr>
          <w:trHeight w:val="320"/>
        </w:trPr>
        <w:tc>
          <w:tcPr>
            <w:tcW w:w="2320" w:type="dxa"/>
            <w:tcBorders>
              <w:top w:val="nil"/>
              <w:left w:val="nil"/>
              <w:bottom w:val="nil"/>
              <w:right w:val="nil"/>
            </w:tcBorders>
            <w:shd w:val="clear" w:color="auto" w:fill="auto"/>
            <w:vAlign w:val="bottom"/>
          </w:tcPr>
          <w:p w14:paraId="2A83B9BF"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(within)</w:t>
            </w:r>
          </w:p>
        </w:tc>
        <w:tc>
          <w:tcPr>
            <w:tcW w:w="940" w:type="dxa"/>
            <w:tcBorders>
              <w:top w:val="nil"/>
              <w:left w:val="nil"/>
              <w:bottom w:val="nil"/>
              <w:right w:val="nil"/>
            </w:tcBorders>
            <w:shd w:val="clear" w:color="auto" w:fill="auto"/>
            <w:vAlign w:val="bottom"/>
          </w:tcPr>
          <w:p w14:paraId="1A798D7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0.18</w:t>
            </w:r>
          </w:p>
        </w:tc>
        <w:tc>
          <w:tcPr>
            <w:tcW w:w="720" w:type="dxa"/>
            <w:tcBorders>
              <w:top w:val="nil"/>
              <w:left w:val="nil"/>
              <w:bottom w:val="nil"/>
              <w:right w:val="nil"/>
            </w:tcBorders>
            <w:shd w:val="clear" w:color="auto" w:fill="auto"/>
            <w:vAlign w:val="bottom"/>
          </w:tcPr>
          <w:p w14:paraId="4435914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0.07</w:t>
            </w:r>
          </w:p>
        </w:tc>
        <w:tc>
          <w:tcPr>
            <w:tcW w:w="1120" w:type="dxa"/>
            <w:tcBorders>
              <w:top w:val="nil"/>
              <w:left w:val="nil"/>
              <w:bottom w:val="nil"/>
              <w:right w:val="nil"/>
            </w:tcBorders>
            <w:shd w:val="clear" w:color="auto" w:fill="auto"/>
            <w:vAlign w:val="bottom"/>
          </w:tcPr>
          <w:p w14:paraId="5612683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0.011</w:t>
            </w:r>
          </w:p>
        </w:tc>
        <w:tc>
          <w:tcPr>
            <w:tcW w:w="1220" w:type="dxa"/>
            <w:tcBorders>
              <w:top w:val="nil"/>
              <w:left w:val="nil"/>
              <w:bottom w:val="nil"/>
              <w:right w:val="nil"/>
            </w:tcBorders>
            <w:shd w:val="clear" w:color="auto" w:fill="auto"/>
            <w:vAlign w:val="bottom"/>
          </w:tcPr>
          <w:p w14:paraId="1B340A20"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36753DCD"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Prior FA (within)</w:t>
            </w:r>
          </w:p>
        </w:tc>
        <w:tc>
          <w:tcPr>
            <w:tcW w:w="940" w:type="dxa"/>
            <w:tcBorders>
              <w:top w:val="nil"/>
              <w:left w:val="nil"/>
              <w:bottom w:val="nil"/>
              <w:right w:val="nil"/>
            </w:tcBorders>
            <w:shd w:val="clear" w:color="auto" w:fill="auto"/>
            <w:vAlign w:val="bottom"/>
          </w:tcPr>
          <w:p w14:paraId="4AD0A29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720" w:type="dxa"/>
            <w:tcBorders>
              <w:top w:val="nil"/>
              <w:left w:val="nil"/>
              <w:bottom w:val="nil"/>
              <w:right w:val="nil"/>
            </w:tcBorders>
            <w:shd w:val="clear" w:color="auto" w:fill="auto"/>
            <w:vAlign w:val="bottom"/>
          </w:tcPr>
          <w:p w14:paraId="40FA286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0.08</w:t>
            </w:r>
          </w:p>
        </w:tc>
        <w:tc>
          <w:tcPr>
            <w:tcW w:w="1120" w:type="dxa"/>
            <w:tcBorders>
              <w:top w:val="nil"/>
              <w:left w:val="nil"/>
              <w:bottom w:val="nil"/>
              <w:right w:val="nil"/>
            </w:tcBorders>
            <w:shd w:val="clear" w:color="auto" w:fill="auto"/>
            <w:vAlign w:val="bottom"/>
          </w:tcPr>
          <w:p w14:paraId="57ED2EC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0.716</w:t>
            </w:r>
          </w:p>
        </w:tc>
      </w:tr>
      <w:tr w:rsidR="006E4B3A" w:rsidRPr="00A03CB5" w14:paraId="67468D1C" w14:textId="77777777">
        <w:trPr>
          <w:trHeight w:val="320"/>
        </w:trPr>
        <w:tc>
          <w:tcPr>
            <w:tcW w:w="2320" w:type="dxa"/>
            <w:tcBorders>
              <w:top w:val="nil"/>
              <w:left w:val="nil"/>
              <w:bottom w:val="nil"/>
              <w:right w:val="nil"/>
            </w:tcBorders>
            <w:shd w:val="clear" w:color="auto" w:fill="auto"/>
            <w:vAlign w:val="bottom"/>
          </w:tcPr>
          <w:p w14:paraId="36C4CB3E"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36B5DEF1"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7A36A016"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1CA85259"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nil"/>
              <w:right w:val="nil"/>
            </w:tcBorders>
            <w:shd w:val="clear" w:color="auto" w:fill="auto"/>
            <w:vAlign w:val="bottom"/>
          </w:tcPr>
          <w:p w14:paraId="006BD875"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445BB5DA"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0D5C52A0"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29DA8EAE"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40A078C9"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49622A38" w14:textId="77777777">
        <w:trPr>
          <w:trHeight w:val="320"/>
        </w:trPr>
        <w:tc>
          <w:tcPr>
            <w:tcW w:w="3260" w:type="dxa"/>
            <w:gridSpan w:val="2"/>
            <w:tcBorders>
              <w:top w:val="nil"/>
              <w:left w:val="nil"/>
              <w:bottom w:val="single" w:sz="4" w:space="0" w:color="000000"/>
              <w:right w:val="nil"/>
            </w:tcBorders>
            <w:shd w:val="clear" w:color="auto" w:fill="auto"/>
            <w:vAlign w:val="bottom"/>
          </w:tcPr>
          <w:p w14:paraId="18A0601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Cooking from scratch</w:t>
            </w:r>
          </w:p>
        </w:tc>
        <w:tc>
          <w:tcPr>
            <w:tcW w:w="720" w:type="dxa"/>
            <w:tcBorders>
              <w:top w:val="nil"/>
              <w:left w:val="nil"/>
              <w:bottom w:val="single" w:sz="4" w:space="0" w:color="000000"/>
              <w:right w:val="nil"/>
            </w:tcBorders>
            <w:shd w:val="clear" w:color="auto" w:fill="auto"/>
            <w:vAlign w:val="bottom"/>
          </w:tcPr>
          <w:p w14:paraId="5B920713"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0C2645C3"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single" w:sz="4" w:space="0" w:color="000000"/>
              <w:right w:val="nil"/>
            </w:tcBorders>
            <w:shd w:val="clear" w:color="auto" w:fill="auto"/>
            <w:vAlign w:val="bottom"/>
          </w:tcPr>
          <w:p w14:paraId="334F05DC"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single" w:sz="4" w:space="0" w:color="000000"/>
              <w:right w:val="nil"/>
            </w:tcBorders>
            <w:shd w:val="clear" w:color="auto" w:fill="auto"/>
            <w:vAlign w:val="bottom"/>
          </w:tcPr>
          <w:p w14:paraId="79A08F5A"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single" w:sz="4" w:space="0" w:color="000000"/>
              <w:right w:val="nil"/>
            </w:tcBorders>
            <w:shd w:val="clear" w:color="auto" w:fill="auto"/>
            <w:vAlign w:val="bottom"/>
          </w:tcPr>
          <w:p w14:paraId="1FA86602"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single" w:sz="4" w:space="0" w:color="000000"/>
              <w:right w:val="nil"/>
            </w:tcBorders>
            <w:shd w:val="clear" w:color="auto" w:fill="auto"/>
            <w:vAlign w:val="bottom"/>
          </w:tcPr>
          <w:p w14:paraId="1A5E2D60"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29FF7CC4"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4A80FC5B" w14:textId="77777777">
        <w:trPr>
          <w:trHeight w:val="320"/>
        </w:trPr>
        <w:tc>
          <w:tcPr>
            <w:tcW w:w="2320" w:type="dxa"/>
            <w:tcBorders>
              <w:top w:val="single" w:sz="4" w:space="0" w:color="000000"/>
              <w:left w:val="nil"/>
              <w:bottom w:val="nil"/>
              <w:right w:val="nil"/>
            </w:tcBorders>
            <w:shd w:val="clear" w:color="auto" w:fill="auto"/>
            <w:vAlign w:val="bottom"/>
          </w:tcPr>
          <w:p w14:paraId="55FA76F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04B2CCA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4.52</w:t>
            </w:r>
          </w:p>
        </w:tc>
        <w:tc>
          <w:tcPr>
            <w:tcW w:w="720" w:type="dxa"/>
            <w:tcBorders>
              <w:top w:val="single" w:sz="4" w:space="0" w:color="000000"/>
              <w:left w:val="nil"/>
              <w:bottom w:val="nil"/>
              <w:right w:val="nil"/>
            </w:tcBorders>
            <w:shd w:val="clear" w:color="auto" w:fill="auto"/>
            <w:vAlign w:val="bottom"/>
          </w:tcPr>
          <w:p w14:paraId="5A62043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0.84</w:t>
            </w:r>
          </w:p>
        </w:tc>
        <w:tc>
          <w:tcPr>
            <w:tcW w:w="1120" w:type="dxa"/>
            <w:tcBorders>
              <w:top w:val="single" w:sz="4" w:space="0" w:color="000000"/>
              <w:left w:val="nil"/>
              <w:bottom w:val="nil"/>
              <w:right w:val="nil"/>
            </w:tcBorders>
            <w:shd w:val="clear" w:color="auto" w:fill="auto"/>
            <w:vAlign w:val="bottom"/>
          </w:tcPr>
          <w:p w14:paraId="7D48EB9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single" w:sz="4" w:space="0" w:color="000000"/>
              <w:left w:val="nil"/>
              <w:bottom w:val="nil"/>
              <w:right w:val="nil"/>
            </w:tcBorders>
            <w:shd w:val="clear" w:color="auto" w:fill="auto"/>
            <w:vAlign w:val="bottom"/>
          </w:tcPr>
          <w:p w14:paraId="718263AE"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single" w:sz="4" w:space="0" w:color="000000"/>
              <w:left w:val="nil"/>
              <w:bottom w:val="nil"/>
              <w:right w:val="nil"/>
            </w:tcBorders>
            <w:shd w:val="clear" w:color="auto" w:fill="auto"/>
            <w:vAlign w:val="bottom"/>
          </w:tcPr>
          <w:p w14:paraId="3236FF06"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02E269E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4.26</w:t>
            </w:r>
          </w:p>
        </w:tc>
        <w:tc>
          <w:tcPr>
            <w:tcW w:w="720" w:type="dxa"/>
            <w:tcBorders>
              <w:top w:val="single" w:sz="4" w:space="0" w:color="000000"/>
              <w:left w:val="nil"/>
              <w:bottom w:val="nil"/>
              <w:right w:val="nil"/>
            </w:tcBorders>
            <w:shd w:val="clear" w:color="auto" w:fill="auto"/>
            <w:vAlign w:val="bottom"/>
          </w:tcPr>
          <w:p w14:paraId="4305FC9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1.33</w:t>
            </w:r>
          </w:p>
        </w:tc>
        <w:tc>
          <w:tcPr>
            <w:tcW w:w="1120" w:type="dxa"/>
            <w:tcBorders>
              <w:top w:val="single" w:sz="4" w:space="0" w:color="000000"/>
              <w:left w:val="nil"/>
              <w:bottom w:val="nil"/>
              <w:right w:val="nil"/>
            </w:tcBorders>
            <w:shd w:val="clear" w:color="auto" w:fill="auto"/>
            <w:vAlign w:val="bottom"/>
          </w:tcPr>
          <w:p w14:paraId="57B80AB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0.002</w:t>
            </w:r>
          </w:p>
        </w:tc>
      </w:tr>
      <w:tr w:rsidR="006E4B3A" w:rsidRPr="00A03CB5" w14:paraId="751E8B60" w14:textId="77777777">
        <w:trPr>
          <w:trHeight w:val="320"/>
        </w:trPr>
        <w:tc>
          <w:tcPr>
            <w:tcW w:w="2320" w:type="dxa"/>
            <w:tcBorders>
              <w:top w:val="nil"/>
              <w:left w:val="nil"/>
              <w:bottom w:val="nil"/>
              <w:right w:val="nil"/>
            </w:tcBorders>
            <w:shd w:val="clear" w:color="auto" w:fill="auto"/>
            <w:vAlign w:val="bottom"/>
          </w:tcPr>
          <w:p w14:paraId="515E0706"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1F40547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-0.39</w:t>
            </w:r>
          </w:p>
        </w:tc>
        <w:tc>
          <w:tcPr>
            <w:tcW w:w="720" w:type="dxa"/>
            <w:tcBorders>
              <w:top w:val="nil"/>
              <w:left w:val="nil"/>
              <w:bottom w:val="nil"/>
              <w:right w:val="nil"/>
            </w:tcBorders>
            <w:shd w:val="clear" w:color="auto" w:fill="auto"/>
            <w:vAlign w:val="bottom"/>
          </w:tcPr>
          <w:p w14:paraId="01F5003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0.21</w:t>
            </w:r>
          </w:p>
        </w:tc>
        <w:tc>
          <w:tcPr>
            <w:tcW w:w="1120" w:type="dxa"/>
            <w:tcBorders>
              <w:top w:val="nil"/>
              <w:left w:val="nil"/>
              <w:bottom w:val="nil"/>
              <w:right w:val="nil"/>
            </w:tcBorders>
            <w:shd w:val="clear" w:color="auto" w:fill="auto"/>
            <w:vAlign w:val="bottom"/>
          </w:tcPr>
          <w:p w14:paraId="2F15430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0.067</w:t>
            </w:r>
          </w:p>
        </w:tc>
        <w:tc>
          <w:tcPr>
            <w:tcW w:w="1220" w:type="dxa"/>
            <w:tcBorders>
              <w:top w:val="nil"/>
              <w:left w:val="nil"/>
              <w:bottom w:val="nil"/>
              <w:right w:val="nil"/>
            </w:tcBorders>
            <w:shd w:val="clear" w:color="auto" w:fill="auto"/>
            <w:vAlign w:val="bottom"/>
          </w:tcPr>
          <w:p w14:paraId="5DB9143F"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204AA84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6B267B2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-0.38</w:t>
            </w:r>
          </w:p>
        </w:tc>
        <w:tc>
          <w:tcPr>
            <w:tcW w:w="720" w:type="dxa"/>
            <w:tcBorders>
              <w:top w:val="nil"/>
              <w:left w:val="nil"/>
              <w:bottom w:val="nil"/>
              <w:right w:val="nil"/>
            </w:tcBorders>
            <w:shd w:val="clear" w:color="auto" w:fill="auto"/>
            <w:vAlign w:val="bottom"/>
          </w:tcPr>
          <w:p w14:paraId="3E4EFBA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0.42</w:t>
            </w:r>
          </w:p>
        </w:tc>
        <w:tc>
          <w:tcPr>
            <w:tcW w:w="1120" w:type="dxa"/>
            <w:tcBorders>
              <w:top w:val="nil"/>
              <w:left w:val="nil"/>
              <w:bottom w:val="nil"/>
              <w:right w:val="nil"/>
            </w:tcBorders>
            <w:shd w:val="clear" w:color="auto" w:fill="auto"/>
            <w:vAlign w:val="bottom"/>
          </w:tcPr>
          <w:p w14:paraId="77182A6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0.369</w:t>
            </w:r>
          </w:p>
        </w:tc>
      </w:tr>
      <w:tr w:rsidR="006E4B3A" w:rsidRPr="00A03CB5" w14:paraId="5F57A0BB" w14:textId="77777777">
        <w:trPr>
          <w:trHeight w:val="320"/>
        </w:trPr>
        <w:tc>
          <w:tcPr>
            <w:tcW w:w="2320" w:type="dxa"/>
            <w:tcBorders>
              <w:top w:val="nil"/>
              <w:left w:val="nil"/>
              <w:bottom w:val="nil"/>
              <w:right w:val="nil"/>
            </w:tcBorders>
            <w:shd w:val="clear" w:color="auto" w:fill="auto"/>
            <w:vAlign w:val="bottom"/>
          </w:tcPr>
          <w:p w14:paraId="2FD5CE4C"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38580D2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720" w:type="dxa"/>
            <w:tcBorders>
              <w:top w:val="nil"/>
              <w:left w:val="nil"/>
              <w:bottom w:val="nil"/>
              <w:right w:val="nil"/>
            </w:tcBorders>
            <w:shd w:val="clear" w:color="auto" w:fill="auto"/>
            <w:vAlign w:val="bottom"/>
          </w:tcPr>
          <w:p w14:paraId="24FD7F5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1120" w:type="dxa"/>
            <w:tcBorders>
              <w:top w:val="nil"/>
              <w:left w:val="nil"/>
              <w:bottom w:val="nil"/>
              <w:right w:val="nil"/>
            </w:tcBorders>
            <w:shd w:val="clear" w:color="auto" w:fill="auto"/>
            <w:vAlign w:val="bottom"/>
          </w:tcPr>
          <w:p w14:paraId="2C09FA5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0.348</w:t>
            </w:r>
          </w:p>
        </w:tc>
        <w:tc>
          <w:tcPr>
            <w:tcW w:w="1220" w:type="dxa"/>
            <w:tcBorders>
              <w:top w:val="nil"/>
              <w:left w:val="nil"/>
              <w:bottom w:val="nil"/>
              <w:right w:val="nil"/>
            </w:tcBorders>
            <w:shd w:val="clear" w:color="auto" w:fill="auto"/>
            <w:vAlign w:val="bottom"/>
          </w:tcPr>
          <w:p w14:paraId="15D623D1"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5328C99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5ECA765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720" w:type="dxa"/>
            <w:tcBorders>
              <w:top w:val="nil"/>
              <w:left w:val="nil"/>
              <w:bottom w:val="nil"/>
              <w:right w:val="nil"/>
            </w:tcBorders>
            <w:shd w:val="clear" w:color="auto" w:fill="auto"/>
            <w:vAlign w:val="bottom"/>
          </w:tcPr>
          <w:p w14:paraId="182A518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1120" w:type="dxa"/>
            <w:tcBorders>
              <w:top w:val="nil"/>
              <w:left w:val="nil"/>
              <w:bottom w:val="nil"/>
              <w:right w:val="nil"/>
            </w:tcBorders>
            <w:shd w:val="clear" w:color="auto" w:fill="auto"/>
            <w:vAlign w:val="bottom"/>
          </w:tcPr>
          <w:p w14:paraId="2A85854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0.337</w:t>
            </w:r>
          </w:p>
        </w:tc>
      </w:tr>
      <w:tr w:rsidR="006E4B3A" w:rsidRPr="00A03CB5" w14:paraId="3D4906C8" w14:textId="77777777">
        <w:trPr>
          <w:trHeight w:val="320"/>
        </w:trPr>
        <w:tc>
          <w:tcPr>
            <w:tcW w:w="2320" w:type="dxa"/>
            <w:tcBorders>
              <w:top w:val="nil"/>
              <w:left w:val="nil"/>
              <w:bottom w:val="nil"/>
              <w:right w:val="nil"/>
            </w:tcBorders>
            <w:shd w:val="clear" w:color="auto" w:fill="auto"/>
            <w:vAlign w:val="bottom"/>
          </w:tcPr>
          <w:p w14:paraId="3FBE03E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77A8397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720" w:type="dxa"/>
            <w:tcBorders>
              <w:top w:val="nil"/>
              <w:left w:val="nil"/>
              <w:bottom w:val="nil"/>
              <w:right w:val="nil"/>
            </w:tcBorders>
            <w:shd w:val="clear" w:color="auto" w:fill="auto"/>
            <w:vAlign w:val="bottom"/>
          </w:tcPr>
          <w:p w14:paraId="0BB24D5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0.08</w:t>
            </w:r>
          </w:p>
        </w:tc>
        <w:tc>
          <w:tcPr>
            <w:tcW w:w="1120" w:type="dxa"/>
            <w:tcBorders>
              <w:top w:val="nil"/>
              <w:left w:val="nil"/>
              <w:bottom w:val="nil"/>
              <w:right w:val="nil"/>
            </w:tcBorders>
            <w:shd w:val="clear" w:color="auto" w:fill="auto"/>
            <w:vAlign w:val="bottom"/>
          </w:tcPr>
          <w:p w14:paraId="524D259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0.882</w:t>
            </w:r>
          </w:p>
        </w:tc>
        <w:tc>
          <w:tcPr>
            <w:tcW w:w="1220" w:type="dxa"/>
            <w:tcBorders>
              <w:top w:val="nil"/>
              <w:left w:val="nil"/>
              <w:bottom w:val="nil"/>
              <w:right w:val="nil"/>
            </w:tcBorders>
            <w:shd w:val="clear" w:color="auto" w:fill="auto"/>
            <w:vAlign w:val="bottom"/>
          </w:tcPr>
          <w:p w14:paraId="74A90EA3"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14A3872B"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60852B2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720" w:type="dxa"/>
            <w:tcBorders>
              <w:top w:val="nil"/>
              <w:left w:val="nil"/>
              <w:bottom w:val="nil"/>
              <w:right w:val="nil"/>
            </w:tcBorders>
            <w:shd w:val="clear" w:color="auto" w:fill="auto"/>
            <w:vAlign w:val="bottom"/>
          </w:tcPr>
          <w:p w14:paraId="6FD5494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0.10</w:t>
            </w:r>
          </w:p>
        </w:tc>
        <w:tc>
          <w:tcPr>
            <w:tcW w:w="1120" w:type="dxa"/>
            <w:tcBorders>
              <w:top w:val="nil"/>
              <w:left w:val="nil"/>
              <w:bottom w:val="nil"/>
              <w:right w:val="nil"/>
            </w:tcBorders>
            <w:shd w:val="clear" w:color="auto" w:fill="auto"/>
            <w:vAlign w:val="bottom"/>
          </w:tcPr>
          <w:p w14:paraId="646978B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0.551</w:t>
            </w:r>
          </w:p>
        </w:tc>
      </w:tr>
      <w:tr w:rsidR="006E4B3A" w:rsidRPr="00A03CB5" w14:paraId="34A83AE6" w14:textId="77777777">
        <w:trPr>
          <w:trHeight w:val="320"/>
        </w:trPr>
        <w:tc>
          <w:tcPr>
            <w:tcW w:w="2320" w:type="dxa"/>
            <w:tcBorders>
              <w:top w:val="nil"/>
              <w:left w:val="nil"/>
              <w:bottom w:val="nil"/>
              <w:right w:val="nil"/>
            </w:tcBorders>
            <w:shd w:val="clear" w:color="auto" w:fill="auto"/>
            <w:vAlign w:val="bottom"/>
          </w:tcPr>
          <w:p w14:paraId="3595FBA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55E3023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-0.12</w:t>
            </w:r>
          </w:p>
        </w:tc>
        <w:tc>
          <w:tcPr>
            <w:tcW w:w="720" w:type="dxa"/>
            <w:tcBorders>
              <w:top w:val="nil"/>
              <w:left w:val="nil"/>
              <w:bottom w:val="nil"/>
              <w:right w:val="nil"/>
            </w:tcBorders>
            <w:shd w:val="clear" w:color="auto" w:fill="auto"/>
            <w:vAlign w:val="bottom"/>
          </w:tcPr>
          <w:p w14:paraId="00D8D0B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1120" w:type="dxa"/>
            <w:tcBorders>
              <w:top w:val="nil"/>
              <w:left w:val="nil"/>
              <w:bottom w:val="nil"/>
              <w:right w:val="nil"/>
            </w:tcBorders>
            <w:shd w:val="clear" w:color="auto" w:fill="auto"/>
            <w:vAlign w:val="bottom"/>
          </w:tcPr>
          <w:p w14:paraId="18CB18E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0.012</w:t>
            </w:r>
          </w:p>
        </w:tc>
        <w:tc>
          <w:tcPr>
            <w:tcW w:w="1220" w:type="dxa"/>
            <w:tcBorders>
              <w:top w:val="nil"/>
              <w:left w:val="nil"/>
              <w:bottom w:val="nil"/>
              <w:right w:val="nil"/>
            </w:tcBorders>
            <w:shd w:val="clear" w:color="auto" w:fill="auto"/>
            <w:vAlign w:val="bottom"/>
          </w:tcPr>
          <w:p w14:paraId="42872066"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54F2BD2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7F4FB6C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-0.12</w:t>
            </w:r>
          </w:p>
        </w:tc>
        <w:tc>
          <w:tcPr>
            <w:tcW w:w="720" w:type="dxa"/>
            <w:tcBorders>
              <w:top w:val="nil"/>
              <w:left w:val="nil"/>
              <w:bottom w:val="nil"/>
              <w:right w:val="nil"/>
            </w:tcBorders>
            <w:shd w:val="clear" w:color="auto" w:fill="auto"/>
            <w:vAlign w:val="bottom"/>
          </w:tcPr>
          <w:p w14:paraId="30246EF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1120" w:type="dxa"/>
            <w:tcBorders>
              <w:top w:val="nil"/>
              <w:left w:val="nil"/>
              <w:bottom w:val="nil"/>
              <w:right w:val="nil"/>
            </w:tcBorders>
            <w:shd w:val="clear" w:color="auto" w:fill="auto"/>
            <w:vAlign w:val="bottom"/>
          </w:tcPr>
          <w:p w14:paraId="00C22F9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0.057</w:t>
            </w:r>
          </w:p>
        </w:tc>
      </w:tr>
      <w:tr w:rsidR="006E4B3A" w:rsidRPr="00A03CB5" w14:paraId="78905919" w14:textId="77777777">
        <w:trPr>
          <w:trHeight w:val="320"/>
        </w:trPr>
        <w:tc>
          <w:tcPr>
            <w:tcW w:w="2320" w:type="dxa"/>
            <w:tcBorders>
              <w:top w:val="nil"/>
              <w:left w:val="nil"/>
              <w:bottom w:val="nil"/>
              <w:right w:val="nil"/>
            </w:tcBorders>
            <w:shd w:val="clear" w:color="auto" w:fill="auto"/>
            <w:vAlign w:val="bottom"/>
          </w:tcPr>
          <w:p w14:paraId="34E8663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(within)</w:t>
            </w:r>
          </w:p>
        </w:tc>
        <w:tc>
          <w:tcPr>
            <w:tcW w:w="940" w:type="dxa"/>
            <w:tcBorders>
              <w:top w:val="nil"/>
              <w:left w:val="nil"/>
              <w:bottom w:val="nil"/>
              <w:right w:val="nil"/>
            </w:tcBorders>
            <w:shd w:val="clear" w:color="auto" w:fill="auto"/>
            <w:vAlign w:val="bottom"/>
          </w:tcPr>
          <w:p w14:paraId="52A731F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720" w:type="dxa"/>
            <w:tcBorders>
              <w:top w:val="nil"/>
              <w:left w:val="nil"/>
              <w:bottom w:val="nil"/>
              <w:right w:val="nil"/>
            </w:tcBorders>
            <w:shd w:val="clear" w:color="auto" w:fill="auto"/>
            <w:vAlign w:val="bottom"/>
          </w:tcPr>
          <w:p w14:paraId="73341C2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1120" w:type="dxa"/>
            <w:tcBorders>
              <w:top w:val="nil"/>
              <w:left w:val="nil"/>
              <w:bottom w:val="nil"/>
              <w:right w:val="nil"/>
            </w:tcBorders>
            <w:shd w:val="clear" w:color="auto" w:fill="auto"/>
            <w:vAlign w:val="bottom"/>
          </w:tcPr>
          <w:p w14:paraId="31297A8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0.669</w:t>
            </w:r>
          </w:p>
        </w:tc>
        <w:tc>
          <w:tcPr>
            <w:tcW w:w="1220" w:type="dxa"/>
            <w:tcBorders>
              <w:top w:val="nil"/>
              <w:left w:val="nil"/>
              <w:bottom w:val="nil"/>
              <w:right w:val="nil"/>
            </w:tcBorders>
            <w:shd w:val="clear" w:color="auto" w:fill="auto"/>
            <w:vAlign w:val="bottom"/>
          </w:tcPr>
          <w:p w14:paraId="1F4E963D"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24E66C0B"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Prior FA (within)</w:t>
            </w:r>
          </w:p>
        </w:tc>
        <w:tc>
          <w:tcPr>
            <w:tcW w:w="940" w:type="dxa"/>
            <w:tcBorders>
              <w:top w:val="nil"/>
              <w:left w:val="nil"/>
              <w:bottom w:val="nil"/>
              <w:right w:val="nil"/>
            </w:tcBorders>
            <w:shd w:val="clear" w:color="auto" w:fill="auto"/>
            <w:vAlign w:val="bottom"/>
          </w:tcPr>
          <w:p w14:paraId="36CB993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0.00</w:t>
            </w:r>
          </w:p>
        </w:tc>
        <w:tc>
          <w:tcPr>
            <w:tcW w:w="720" w:type="dxa"/>
            <w:tcBorders>
              <w:top w:val="nil"/>
              <w:left w:val="nil"/>
              <w:bottom w:val="nil"/>
              <w:right w:val="nil"/>
            </w:tcBorders>
            <w:shd w:val="clear" w:color="auto" w:fill="auto"/>
            <w:vAlign w:val="bottom"/>
          </w:tcPr>
          <w:p w14:paraId="3BC1CE2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1120" w:type="dxa"/>
            <w:tcBorders>
              <w:top w:val="nil"/>
              <w:left w:val="nil"/>
              <w:bottom w:val="nil"/>
              <w:right w:val="nil"/>
            </w:tcBorders>
            <w:shd w:val="clear" w:color="auto" w:fill="auto"/>
            <w:vAlign w:val="bottom"/>
          </w:tcPr>
          <w:p w14:paraId="150EEC6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0.97</w:t>
            </w:r>
          </w:p>
        </w:tc>
      </w:tr>
      <w:tr w:rsidR="006E4B3A" w:rsidRPr="00A03CB5" w14:paraId="175F1F8B" w14:textId="77777777">
        <w:trPr>
          <w:trHeight w:val="320"/>
        </w:trPr>
        <w:tc>
          <w:tcPr>
            <w:tcW w:w="2320" w:type="dxa"/>
            <w:tcBorders>
              <w:top w:val="nil"/>
              <w:left w:val="nil"/>
              <w:bottom w:val="nil"/>
              <w:right w:val="nil"/>
            </w:tcBorders>
            <w:shd w:val="clear" w:color="auto" w:fill="auto"/>
            <w:vAlign w:val="bottom"/>
          </w:tcPr>
          <w:p w14:paraId="54B715EF" w14:textId="77777777" w:rsidR="006E4B3A" w:rsidRPr="00A03CB5" w:rsidRDefault="006E4B3A">
            <w:pPr>
              <w:spacing w:line="240" w:lineRule="auto"/>
              <w:jc w:val="right"/>
              <w:rPr>
                <w:rFonts w:ascii="Times New Roman" w:eastAsia="Times New Roman" w:hAnsi="Times New Roman" w:cs="Times New Roman"/>
                <w:sz w:val="24"/>
                <w:szCs w:val="24"/>
              </w:rPr>
            </w:pPr>
          </w:p>
          <w:p w14:paraId="0ED1436D" w14:textId="77777777" w:rsidR="006E4B3A" w:rsidRPr="00A03CB5" w:rsidRDefault="006E4B3A">
            <w:pPr>
              <w:spacing w:line="240" w:lineRule="auto"/>
              <w:jc w:val="right"/>
              <w:rPr>
                <w:rFonts w:ascii="Times New Roman" w:eastAsia="Times New Roman" w:hAnsi="Times New Roman" w:cs="Times New Roman"/>
                <w:sz w:val="24"/>
                <w:szCs w:val="24"/>
              </w:rPr>
            </w:pPr>
          </w:p>
          <w:p w14:paraId="0D1458A9" w14:textId="77777777" w:rsidR="006E4B3A" w:rsidRPr="00A03CB5" w:rsidRDefault="006E4B3A">
            <w:pPr>
              <w:spacing w:line="240" w:lineRule="auto"/>
              <w:jc w:val="right"/>
              <w:rPr>
                <w:rFonts w:ascii="Times New Roman" w:eastAsia="Times New Roman" w:hAnsi="Times New Roman" w:cs="Times New Roman"/>
                <w:sz w:val="24"/>
                <w:szCs w:val="24"/>
              </w:rPr>
            </w:pPr>
          </w:p>
          <w:p w14:paraId="6099F760" w14:textId="77777777" w:rsidR="006E4B3A" w:rsidRPr="00A03CB5" w:rsidRDefault="006E4B3A">
            <w:pPr>
              <w:spacing w:line="240" w:lineRule="auto"/>
              <w:jc w:val="right"/>
              <w:rPr>
                <w:rFonts w:ascii="Times New Roman" w:eastAsia="Times New Roman" w:hAnsi="Times New Roman" w:cs="Times New Roman"/>
                <w:sz w:val="24"/>
                <w:szCs w:val="24"/>
              </w:rPr>
            </w:pPr>
          </w:p>
          <w:p w14:paraId="0DB40F9F" w14:textId="77777777" w:rsidR="006E4B3A" w:rsidRPr="00A03CB5" w:rsidRDefault="006E4B3A">
            <w:pPr>
              <w:spacing w:line="240" w:lineRule="auto"/>
              <w:jc w:val="right"/>
              <w:rPr>
                <w:rFonts w:ascii="Times New Roman" w:eastAsia="Times New Roman" w:hAnsi="Times New Roman" w:cs="Times New Roman"/>
                <w:sz w:val="24"/>
                <w:szCs w:val="24"/>
              </w:rPr>
            </w:pPr>
          </w:p>
          <w:p w14:paraId="4FC7EFE6" w14:textId="77777777" w:rsidR="006E4B3A" w:rsidRPr="00A03CB5" w:rsidRDefault="006E4B3A">
            <w:pPr>
              <w:spacing w:line="240" w:lineRule="auto"/>
              <w:jc w:val="right"/>
              <w:rPr>
                <w:rFonts w:ascii="Times New Roman" w:eastAsia="Times New Roman" w:hAnsi="Times New Roman" w:cs="Times New Roman"/>
                <w:sz w:val="24"/>
                <w:szCs w:val="24"/>
              </w:rPr>
            </w:pPr>
          </w:p>
          <w:p w14:paraId="444B19AE" w14:textId="77777777" w:rsidR="006E4B3A" w:rsidRPr="00A03CB5" w:rsidRDefault="006E4B3A">
            <w:pPr>
              <w:spacing w:line="240" w:lineRule="auto"/>
              <w:jc w:val="right"/>
              <w:rPr>
                <w:rFonts w:ascii="Times New Roman" w:eastAsia="Times New Roman" w:hAnsi="Times New Roman" w:cs="Times New Roman"/>
                <w:sz w:val="24"/>
                <w:szCs w:val="24"/>
              </w:rPr>
            </w:pPr>
          </w:p>
          <w:p w14:paraId="1024FADC"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75B88ACF"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43B20C94"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20995A77"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nil"/>
              <w:right w:val="nil"/>
            </w:tcBorders>
            <w:shd w:val="clear" w:color="auto" w:fill="auto"/>
            <w:vAlign w:val="bottom"/>
          </w:tcPr>
          <w:p w14:paraId="363052C2"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76E3B9E9"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19600CE5"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14DB5A3A"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3E211CEA"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286FF98E" w14:textId="77777777">
        <w:trPr>
          <w:trHeight w:val="320"/>
        </w:trPr>
        <w:tc>
          <w:tcPr>
            <w:tcW w:w="2320" w:type="dxa"/>
            <w:tcBorders>
              <w:top w:val="nil"/>
              <w:left w:val="nil"/>
              <w:bottom w:val="single" w:sz="4" w:space="0" w:color="000000"/>
              <w:right w:val="nil"/>
            </w:tcBorders>
            <w:shd w:val="clear" w:color="auto" w:fill="auto"/>
            <w:vAlign w:val="bottom"/>
          </w:tcPr>
          <w:p w14:paraId="3749C58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Fast food</w:t>
            </w:r>
          </w:p>
        </w:tc>
        <w:tc>
          <w:tcPr>
            <w:tcW w:w="940" w:type="dxa"/>
            <w:tcBorders>
              <w:top w:val="nil"/>
              <w:left w:val="nil"/>
              <w:bottom w:val="single" w:sz="4" w:space="0" w:color="000000"/>
              <w:right w:val="nil"/>
            </w:tcBorders>
            <w:shd w:val="clear" w:color="auto" w:fill="auto"/>
            <w:vAlign w:val="bottom"/>
          </w:tcPr>
          <w:p w14:paraId="242AAD92"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single" w:sz="4" w:space="0" w:color="000000"/>
              <w:right w:val="nil"/>
            </w:tcBorders>
            <w:shd w:val="clear" w:color="auto" w:fill="auto"/>
            <w:vAlign w:val="bottom"/>
          </w:tcPr>
          <w:p w14:paraId="14518D5D"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17A8DBAA"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single" w:sz="4" w:space="0" w:color="000000"/>
              <w:right w:val="nil"/>
            </w:tcBorders>
            <w:shd w:val="clear" w:color="auto" w:fill="auto"/>
            <w:vAlign w:val="bottom"/>
          </w:tcPr>
          <w:p w14:paraId="43FFC90C"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single" w:sz="4" w:space="0" w:color="000000"/>
              <w:right w:val="nil"/>
            </w:tcBorders>
            <w:shd w:val="clear" w:color="auto" w:fill="auto"/>
            <w:vAlign w:val="bottom"/>
          </w:tcPr>
          <w:p w14:paraId="46D0A55B"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single" w:sz="4" w:space="0" w:color="000000"/>
              <w:right w:val="nil"/>
            </w:tcBorders>
            <w:shd w:val="clear" w:color="auto" w:fill="auto"/>
            <w:vAlign w:val="bottom"/>
          </w:tcPr>
          <w:p w14:paraId="4D645F49"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single" w:sz="4" w:space="0" w:color="000000"/>
              <w:right w:val="nil"/>
            </w:tcBorders>
            <w:shd w:val="clear" w:color="auto" w:fill="auto"/>
            <w:vAlign w:val="bottom"/>
          </w:tcPr>
          <w:p w14:paraId="1EA85B73"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3BC8FBC8"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00344747" w14:textId="77777777">
        <w:trPr>
          <w:trHeight w:val="320"/>
        </w:trPr>
        <w:tc>
          <w:tcPr>
            <w:tcW w:w="2320" w:type="dxa"/>
            <w:tcBorders>
              <w:top w:val="single" w:sz="4" w:space="0" w:color="000000"/>
              <w:left w:val="nil"/>
              <w:bottom w:val="nil"/>
              <w:right w:val="nil"/>
            </w:tcBorders>
            <w:shd w:val="clear" w:color="auto" w:fill="auto"/>
            <w:vAlign w:val="bottom"/>
          </w:tcPr>
          <w:p w14:paraId="6AC58484"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3679A42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3.89</w:t>
            </w:r>
          </w:p>
        </w:tc>
        <w:tc>
          <w:tcPr>
            <w:tcW w:w="720" w:type="dxa"/>
            <w:tcBorders>
              <w:top w:val="single" w:sz="4" w:space="0" w:color="000000"/>
              <w:left w:val="nil"/>
              <w:bottom w:val="nil"/>
              <w:right w:val="nil"/>
            </w:tcBorders>
            <w:shd w:val="clear" w:color="auto" w:fill="auto"/>
            <w:vAlign w:val="bottom"/>
          </w:tcPr>
          <w:p w14:paraId="739C45A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1.00</w:t>
            </w:r>
          </w:p>
        </w:tc>
        <w:tc>
          <w:tcPr>
            <w:tcW w:w="1120" w:type="dxa"/>
            <w:tcBorders>
              <w:top w:val="single" w:sz="4" w:space="0" w:color="000000"/>
              <w:left w:val="nil"/>
              <w:bottom w:val="nil"/>
              <w:right w:val="nil"/>
            </w:tcBorders>
            <w:shd w:val="clear" w:color="auto" w:fill="auto"/>
            <w:vAlign w:val="bottom"/>
          </w:tcPr>
          <w:p w14:paraId="4D29532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single" w:sz="4" w:space="0" w:color="000000"/>
              <w:left w:val="nil"/>
              <w:bottom w:val="nil"/>
              <w:right w:val="nil"/>
            </w:tcBorders>
            <w:shd w:val="clear" w:color="auto" w:fill="auto"/>
            <w:vAlign w:val="bottom"/>
          </w:tcPr>
          <w:p w14:paraId="45675163"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single" w:sz="4" w:space="0" w:color="000000"/>
              <w:left w:val="nil"/>
              <w:bottom w:val="nil"/>
              <w:right w:val="nil"/>
            </w:tcBorders>
            <w:shd w:val="clear" w:color="auto" w:fill="auto"/>
            <w:vAlign w:val="bottom"/>
          </w:tcPr>
          <w:p w14:paraId="27AA1D7B"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4439BB5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3.83</w:t>
            </w:r>
          </w:p>
        </w:tc>
        <w:tc>
          <w:tcPr>
            <w:tcW w:w="720" w:type="dxa"/>
            <w:tcBorders>
              <w:top w:val="single" w:sz="4" w:space="0" w:color="000000"/>
              <w:left w:val="nil"/>
              <w:bottom w:val="nil"/>
              <w:right w:val="nil"/>
            </w:tcBorders>
            <w:shd w:val="clear" w:color="auto" w:fill="auto"/>
            <w:vAlign w:val="bottom"/>
          </w:tcPr>
          <w:p w14:paraId="75D4F9A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1.67</w:t>
            </w:r>
          </w:p>
        </w:tc>
        <w:tc>
          <w:tcPr>
            <w:tcW w:w="1120" w:type="dxa"/>
            <w:tcBorders>
              <w:top w:val="single" w:sz="4" w:space="0" w:color="000000"/>
              <w:left w:val="nil"/>
              <w:bottom w:val="nil"/>
              <w:right w:val="nil"/>
            </w:tcBorders>
            <w:shd w:val="clear" w:color="auto" w:fill="auto"/>
            <w:vAlign w:val="bottom"/>
          </w:tcPr>
          <w:p w14:paraId="06798D7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0.023</w:t>
            </w:r>
          </w:p>
        </w:tc>
      </w:tr>
      <w:tr w:rsidR="006E4B3A" w:rsidRPr="00A03CB5" w14:paraId="3791755A" w14:textId="77777777">
        <w:trPr>
          <w:trHeight w:val="320"/>
        </w:trPr>
        <w:tc>
          <w:tcPr>
            <w:tcW w:w="2320" w:type="dxa"/>
            <w:tcBorders>
              <w:top w:val="nil"/>
              <w:left w:val="nil"/>
              <w:bottom w:val="nil"/>
              <w:right w:val="nil"/>
            </w:tcBorders>
            <w:shd w:val="clear" w:color="auto" w:fill="auto"/>
            <w:vAlign w:val="bottom"/>
          </w:tcPr>
          <w:p w14:paraId="709F21B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23DE63A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0.16</w:t>
            </w:r>
          </w:p>
        </w:tc>
        <w:tc>
          <w:tcPr>
            <w:tcW w:w="720" w:type="dxa"/>
            <w:tcBorders>
              <w:top w:val="nil"/>
              <w:left w:val="nil"/>
              <w:bottom w:val="nil"/>
              <w:right w:val="nil"/>
            </w:tcBorders>
            <w:shd w:val="clear" w:color="auto" w:fill="auto"/>
            <w:vAlign w:val="bottom"/>
          </w:tcPr>
          <w:p w14:paraId="25A18F2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0.25</w:t>
            </w:r>
          </w:p>
        </w:tc>
        <w:tc>
          <w:tcPr>
            <w:tcW w:w="1120" w:type="dxa"/>
            <w:tcBorders>
              <w:top w:val="nil"/>
              <w:left w:val="nil"/>
              <w:bottom w:val="nil"/>
              <w:right w:val="nil"/>
            </w:tcBorders>
            <w:shd w:val="clear" w:color="auto" w:fill="auto"/>
            <w:vAlign w:val="bottom"/>
          </w:tcPr>
          <w:p w14:paraId="41FCA4D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0.524</w:t>
            </w:r>
          </w:p>
        </w:tc>
        <w:tc>
          <w:tcPr>
            <w:tcW w:w="1220" w:type="dxa"/>
            <w:tcBorders>
              <w:top w:val="nil"/>
              <w:left w:val="nil"/>
              <w:bottom w:val="nil"/>
              <w:right w:val="nil"/>
            </w:tcBorders>
            <w:shd w:val="clear" w:color="auto" w:fill="auto"/>
            <w:vAlign w:val="bottom"/>
          </w:tcPr>
          <w:p w14:paraId="144C2991"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48E35D44"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557DDF6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0.46</w:t>
            </w:r>
          </w:p>
        </w:tc>
        <w:tc>
          <w:tcPr>
            <w:tcW w:w="720" w:type="dxa"/>
            <w:tcBorders>
              <w:top w:val="nil"/>
              <w:left w:val="nil"/>
              <w:bottom w:val="nil"/>
              <w:right w:val="nil"/>
            </w:tcBorders>
            <w:shd w:val="clear" w:color="auto" w:fill="auto"/>
            <w:vAlign w:val="bottom"/>
          </w:tcPr>
          <w:p w14:paraId="58EF78B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0.52</w:t>
            </w:r>
          </w:p>
        </w:tc>
        <w:tc>
          <w:tcPr>
            <w:tcW w:w="1120" w:type="dxa"/>
            <w:tcBorders>
              <w:top w:val="nil"/>
              <w:left w:val="nil"/>
              <w:bottom w:val="nil"/>
              <w:right w:val="nil"/>
            </w:tcBorders>
            <w:shd w:val="clear" w:color="auto" w:fill="auto"/>
            <w:vAlign w:val="bottom"/>
          </w:tcPr>
          <w:p w14:paraId="75F79EB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0.386</w:t>
            </w:r>
          </w:p>
        </w:tc>
      </w:tr>
      <w:tr w:rsidR="006E4B3A" w:rsidRPr="00A03CB5" w14:paraId="2EA80BD7" w14:textId="77777777">
        <w:trPr>
          <w:trHeight w:val="320"/>
        </w:trPr>
        <w:tc>
          <w:tcPr>
            <w:tcW w:w="2320" w:type="dxa"/>
            <w:tcBorders>
              <w:top w:val="nil"/>
              <w:left w:val="nil"/>
              <w:bottom w:val="nil"/>
              <w:right w:val="nil"/>
            </w:tcBorders>
            <w:shd w:val="clear" w:color="auto" w:fill="auto"/>
            <w:vAlign w:val="bottom"/>
          </w:tcPr>
          <w:p w14:paraId="624FDC7A"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2CCA2BE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720" w:type="dxa"/>
            <w:tcBorders>
              <w:top w:val="nil"/>
              <w:left w:val="nil"/>
              <w:bottom w:val="nil"/>
              <w:right w:val="nil"/>
            </w:tcBorders>
            <w:shd w:val="clear" w:color="auto" w:fill="auto"/>
            <w:vAlign w:val="bottom"/>
          </w:tcPr>
          <w:p w14:paraId="6303393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1120" w:type="dxa"/>
            <w:tcBorders>
              <w:top w:val="nil"/>
              <w:left w:val="nil"/>
              <w:bottom w:val="nil"/>
              <w:right w:val="nil"/>
            </w:tcBorders>
            <w:shd w:val="clear" w:color="auto" w:fill="auto"/>
            <w:vAlign w:val="bottom"/>
          </w:tcPr>
          <w:p w14:paraId="0DB726A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0.496</w:t>
            </w:r>
          </w:p>
        </w:tc>
        <w:tc>
          <w:tcPr>
            <w:tcW w:w="1220" w:type="dxa"/>
            <w:tcBorders>
              <w:top w:val="nil"/>
              <w:left w:val="nil"/>
              <w:bottom w:val="nil"/>
              <w:right w:val="nil"/>
            </w:tcBorders>
            <w:shd w:val="clear" w:color="auto" w:fill="auto"/>
            <w:vAlign w:val="bottom"/>
          </w:tcPr>
          <w:p w14:paraId="4652EAE6"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760A5AA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0644EED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720" w:type="dxa"/>
            <w:tcBorders>
              <w:top w:val="nil"/>
              <w:left w:val="nil"/>
              <w:bottom w:val="nil"/>
              <w:right w:val="nil"/>
            </w:tcBorders>
            <w:shd w:val="clear" w:color="auto" w:fill="auto"/>
            <w:vAlign w:val="bottom"/>
          </w:tcPr>
          <w:p w14:paraId="1D8AB7A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1120" w:type="dxa"/>
            <w:tcBorders>
              <w:top w:val="nil"/>
              <w:left w:val="nil"/>
              <w:bottom w:val="nil"/>
              <w:right w:val="nil"/>
            </w:tcBorders>
            <w:shd w:val="clear" w:color="auto" w:fill="auto"/>
            <w:vAlign w:val="bottom"/>
          </w:tcPr>
          <w:p w14:paraId="6DB4081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0.614</w:t>
            </w:r>
          </w:p>
        </w:tc>
      </w:tr>
      <w:tr w:rsidR="006E4B3A" w:rsidRPr="00A03CB5" w14:paraId="4891957F" w14:textId="77777777">
        <w:trPr>
          <w:trHeight w:val="320"/>
        </w:trPr>
        <w:tc>
          <w:tcPr>
            <w:tcW w:w="2320" w:type="dxa"/>
            <w:tcBorders>
              <w:top w:val="nil"/>
              <w:left w:val="nil"/>
              <w:bottom w:val="nil"/>
              <w:right w:val="nil"/>
            </w:tcBorders>
            <w:shd w:val="clear" w:color="auto" w:fill="auto"/>
            <w:vAlign w:val="bottom"/>
          </w:tcPr>
          <w:p w14:paraId="7FDAFFB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0F90C35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720" w:type="dxa"/>
            <w:tcBorders>
              <w:top w:val="nil"/>
              <w:left w:val="nil"/>
              <w:bottom w:val="nil"/>
              <w:right w:val="nil"/>
            </w:tcBorders>
            <w:shd w:val="clear" w:color="auto" w:fill="auto"/>
            <w:vAlign w:val="bottom"/>
          </w:tcPr>
          <w:p w14:paraId="3FA2620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0.10</w:t>
            </w:r>
          </w:p>
        </w:tc>
        <w:tc>
          <w:tcPr>
            <w:tcW w:w="1120" w:type="dxa"/>
            <w:tcBorders>
              <w:top w:val="nil"/>
              <w:left w:val="nil"/>
              <w:bottom w:val="nil"/>
              <w:right w:val="nil"/>
            </w:tcBorders>
            <w:shd w:val="clear" w:color="auto" w:fill="auto"/>
            <w:vAlign w:val="bottom"/>
          </w:tcPr>
          <w:p w14:paraId="539791B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0.6</w:t>
            </w:r>
          </w:p>
        </w:tc>
        <w:tc>
          <w:tcPr>
            <w:tcW w:w="1220" w:type="dxa"/>
            <w:tcBorders>
              <w:top w:val="nil"/>
              <w:left w:val="nil"/>
              <w:bottom w:val="nil"/>
              <w:right w:val="nil"/>
            </w:tcBorders>
            <w:shd w:val="clear" w:color="auto" w:fill="auto"/>
            <w:vAlign w:val="bottom"/>
          </w:tcPr>
          <w:p w14:paraId="78BD0365"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0638409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3711AC5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720" w:type="dxa"/>
            <w:tcBorders>
              <w:top w:val="nil"/>
              <w:left w:val="nil"/>
              <w:bottom w:val="nil"/>
              <w:right w:val="nil"/>
            </w:tcBorders>
            <w:shd w:val="clear" w:color="auto" w:fill="auto"/>
            <w:vAlign w:val="bottom"/>
          </w:tcPr>
          <w:p w14:paraId="3C0DE2F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0.13</w:t>
            </w:r>
          </w:p>
        </w:tc>
        <w:tc>
          <w:tcPr>
            <w:tcW w:w="1120" w:type="dxa"/>
            <w:tcBorders>
              <w:top w:val="nil"/>
              <w:left w:val="nil"/>
              <w:bottom w:val="nil"/>
              <w:right w:val="nil"/>
            </w:tcBorders>
            <w:shd w:val="clear" w:color="auto" w:fill="auto"/>
            <w:vAlign w:val="bottom"/>
          </w:tcPr>
          <w:p w14:paraId="7BC8271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0.917</w:t>
            </w:r>
          </w:p>
        </w:tc>
      </w:tr>
      <w:tr w:rsidR="006E4B3A" w:rsidRPr="00A03CB5" w14:paraId="4C668AB4" w14:textId="77777777">
        <w:trPr>
          <w:trHeight w:val="320"/>
        </w:trPr>
        <w:tc>
          <w:tcPr>
            <w:tcW w:w="2320" w:type="dxa"/>
            <w:tcBorders>
              <w:top w:val="nil"/>
              <w:left w:val="nil"/>
              <w:bottom w:val="nil"/>
              <w:right w:val="nil"/>
            </w:tcBorders>
            <w:shd w:val="clear" w:color="auto" w:fill="auto"/>
            <w:vAlign w:val="bottom"/>
          </w:tcPr>
          <w:p w14:paraId="1420FCAF"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508A8D5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0.29</w:t>
            </w:r>
          </w:p>
        </w:tc>
        <w:tc>
          <w:tcPr>
            <w:tcW w:w="720" w:type="dxa"/>
            <w:tcBorders>
              <w:top w:val="nil"/>
              <w:left w:val="nil"/>
              <w:bottom w:val="nil"/>
              <w:right w:val="nil"/>
            </w:tcBorders>
            <w:shd w:val="clear" w:color="auto" w:fill="auto"/>
            <w:vAlign w:val="bottom"/>
          </w:tcPr>
          <w:p w14:paraId="6E5DB65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1120" w:type="dxa"/>
            <w:tcBorders>
              <w:top w:val="nil"/>
              <w:left w:val="nil"/>
              <w:bottom w:val="nil"/>
              <w:right w:val="nil"/>
            </w:tcBorders>
            <w:shd w:val="clear" w:color="auto" w:fill="auto"/>
            <w:vAlign w:val="bottom"/>
          </w:tcPr>
          <w:p w14:paraId="1C29497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nil"/>
              <w:left w:val="nil"/>
              <w:bottom w:val="nil"/>
              <w:right w:val="nil"/>
            </w:tcBorders>
            <w:shd w:val="clear" w:color="auto" w:fill="auto"/>
            <w:vAlign w:val="bottom"/>
          </w:tcPr>
          <w:p w14:paraId="76F3A7CD"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7C795A4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568A65A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0.39</w:t>
            </w:r>
          </w:p>
        </w:tc>
        <w:tc>
          <w:tcPr>
            <w:tcW w:w="720" w:type="dxa"/>
            <w:tcBorders>
              <w:top w:val="nil"/>
              <w:left w:val="nil"/>
              <w:bottom w:val="nil"/>
              <w:right w:val="nil"/>
            </w:tcBorders>
            <w:shd w:val="clear" w:color="auto" w:fill="auto"/>
            <w:vAlign w:val="bottom"/>
          </w:tcPr>
          <w:p w14:paraId="166BD47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0.08</w:t>
            </w:r>
          </w:p>
        </w:tc>
        <w:tc>
          <w:tcPr>
            <w:tcW w:w="1120" w:type="dxa"/>
            <w:tcBorders>
              <w:top w:val="nil"/>
              <w:left w:val="nil"/>
              <w:bottom w:val="nil"/>
              <w:right w:val="nil"/>
            </w:tcBorders>
            <w:shd w:val="clear" w:color="auto" w:fill="auto"/>
            <w:vAlign w:val="bottom"/>
          </w:tcPr>
          <w:p w14:paraId="41C20C8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r>
      <w:tr w:rsidR="006E4B3A" w:rsidRPr="00A03CB5" w14:paraId="0F3DEA8A" w14:textId="77777777">
        <w:trPr>
          <w:trHeight w:val="320"/>
        </w:trPr>
        <w:tc>
          <w:tcPr>
            <w:tcW w:w="2320" w:type="dxa"/>
            <w:tcBorders>
              <w:top w:val="nil"/>
              <w:left w:val="nil"/>
              <w:bottom w:val="nil"/>
              <w:right w:val="nil"/>
            </w:tcBorders>
            <w:shd w:val="clear" w:color="auto" w:fill="auto"/>
            <w:vAlign w:val="bottom"/>
          </w:tcPr>
          <w:p w14:paraId="14E3ED1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(within)</w:t>
            </w:r>
          </w:p>
        </w:tc>
        <w:tc>
          <w:tcPr>
            <w:tcW w:w="940" w:type="dxa"/>
            <w:tcBorders>
              <w:top w:val="nil"/>
              <w:left w:val="nil"/>
              <w:bottom w:val="nil"/>
              <w:right w:val="nil"/>
            </w:tcBorders>
            <w:shd w:val="clear" w:color="auto" w:fill="auto"/>
            <w:vAlign w:val="bottom"/>
          </w:tcPr>
          <w:p w14:paraId="070A583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0.04</w:t>
            </w:r>
          </w:p>
        </w:tc>
        <w:tc>
          <w:tcPr>
            <w:tcW w:w="720" w:type="dxa"/>
            <w:tcBorders>
              <w:top w:val="nil"/>
              <w:left w:val="nil"/>
              <w:bottom w:val="nil"/>
              <w:right w:val="nil"/>
            </w:tcBorders>
            <w:shd w:val="clear" w:color="auto" w:fill="auto"/>
            <w:vAlign w:val="bottom"/>
          </w:tcPr>
          <w:p w14:paraId="32E6911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1120" w:type="dxa"/>
            <w:tcBorders>
              <w:top w:val="nil"/>
              <w:left w:val="nil"/>
              <w:bottom w:val="nil"/>
              <w:right w:val="nil"/>
            </w:tcBorders>
            <w:shd w:val="clear" w:color="auto" w:fill="auto"/>
            <w:vAlign w:val="bottom"/>
          </w:tcPr>
          <w:p w14:paraId="5259F7A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0.406</w:t>
            </w:r>
          </w:p>
        </w:tc>
        <w:tc>
          <w:tcPr>
            <w:tcW w:w="1220" w:type="dxa"/>
            <w:tcBorders>
              <w:top w:val="nil"/>
              <w:left w:val="nil"/>
              <w:bottom w:val="nil"/>
              <w:right w:val="nil"/>
            </w:tcBorders>
            <w:shd w:val="clear" w:color="auto" w:fill="auto"/>
            <w:vAlign w:val="bottom"/>
          </w:tcPr>
          <w:p w14:paraId="607E8DA5"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720CD3D2"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Prior FA (within)</w:t>
            </w:r>
          </w:p>
        </w:tc>
        <w:tc>
          <w:tcPr>
            <w:tcW w:w="940" w:type="dxa"/>
            <w:tcBorders>
              <w:top w:val="nil"/>
              <w:left w:val="nil"/>
              <w:bottom w:val="nil"/>
              <w:right w:val="nil"/>
            </w:tcBorders>
            <w:shd w:val="clear" w:color="auto" w:fill="auto"/>
            <w:vAlign w:val="bottom"/>
          </w:tcPr>
          <w:p w14:paraId="71271A2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720" w:type="dxa"/>
            <w:tcBorders>
              <w:top w:val="nil"/>
              <w:left w:val="nil"/>
              <w:bottom w:val="nil"/>
              <w:right w:val="nil"/>
            </w:tcBorders>
            <w:shd w:val="clear" w:color="auto" w:fill="auto"/>
            <w:vAlign w:val="bottom"/>
          </w:tcPr>
          <w:p w14:paraId="0423DFA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0.07</w:t>
            </w:r>
          </w:p>
        </w:tc>
        <w:tc>
          <w:tcPr>
            <w:tcW w:w="1120" w:type="dxa"/>
            <w:tcBorders>
              <w:top w:val="nil"/>
              <w:left w:val="nil"/>
              <w:bottom w:val="nil"/>
              <w:right w:val="nil"/>
            </w:tcBorders>
            <w:shd w:val="clear" w:color="auto" w:fill="auto"/>
            <w:vAlign w:val="bottom"/>
          </w:tcPr>
          <w:p w14:paraId="6F46EEA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0.754</w:t>
            </w:r>
          </w:p>
        </w:tc>
      </w:tr>
      <w:tr w:rsidR="006E4B3A" w:rsidRPr="00A03CB5" w14:paraId="6C7A2A4E" w14:textId="77777777">
        <w:trPr>
          <w:trHeight w:val="320"/>
        </w:trPr>
        <w:tc>
          <w:tcPr>
            <w:tcW w:w="2320" w:type="dxa"/>
            <w:tcBorders>
              <w:top w:val="nil"/>
              <w:left w:val="nil"/>
              <w:bottom w:val="nil"/>
              <w:right w:val="nil"/>
            </w:tcBorders>
            <w:shd w:val="clear" w:color="auto" w:fill="auto"/>
            <w:vAlign w:val="bottom"/>
          </w:tcPr>
          <w:p w14:paraId="555B6542"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2E486680"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2A9107F4"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18EAF21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nil"/>
              <w:right w:val="nil"/>
            </w:tcBorders>
            <w:shd w:val="clear" w:color="auto" w:fill="auto"/>
            <w:vAlign w:val="bottom"/>
          </w:tcPr>
          <w:p w14:paraId="0856E72E"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08EF7C5F"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668305E0"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4B855983"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55C7C916"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08D481F5" w14:textId="77777777">
        <w:trPr>
          <w:trHeight w:val="320"/>
        </w:trPr>
        <w:tc>
          <w:tcPr>
            <w:tcW w:w="2320" w:type="dxa"/>
            <w:tcBorders>
              <w:top w:val="nil"/>
              <w:left w:val="nil"/>
              <w:bottom w:val="single" w:sz="4" w:space="0" w:color="000000"/>
              <w:right w:val="nil"/>
            </w:tcBorders>
            <w:shd w:val="clear" w:color="auto" w:fill="auto"/>
            <w:vAlign w:val="bottom"/>
          </w:tcPr>
          <w:p w14:paraId="25B5DFF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Restaurant</w:t>
            </w:r>
          </w:p>
        </w:tc>
        <w:tc>
          <w:tcPr>
            <w:tcW w:w="940" w:type="dxa"/>
            <w:tcBorders>
              <w:top w:val="nil"/>
              <w:left w:val="nil"/>
              <w:bottom w:val="single" w:sz="4" w:space="0" w:color="000000"/>
              <w:right w:val="nil"/>
            </w:tcBorders>
            <w:shd w:val="clear" w:color="auto" w:fill="auto"/>
            <w:vAlign w:val="bottom"/>
          </w:tcPr>
          <w:p w14:paraId="4D5D89F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B</w:t>
            </w:r>
          </w:p>
        </w:tc>
        <w:tc>
          <w:tcPr>
            <w:tcW w:w="720" w:type="dxa"/>
            <w:tcBorders>
              <w:top w:val="nil"/>
              <w:left w:val="nil"/>
              <w:bottom w:val="single" w:sz="4" w:space="0" w:color="000000"/>
              <w:right w:val="nil"/>
            </w:tcBorders>
            <w:shd w:val="clear" w:color="auto" w:fill="auto"/>
            <w:vAlign w:val="bottom"/>
          </w:tcPr>
          <w:p w14:paraId="1882283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SE</w:t>
            </w:r>
          </w:p>
        </w:tc>
        <w:tc>
          <w:tcPr>
            <w:tcW w:w="1120" w:type="dxa"/>
            <w:tcBorders>
              <w:top w:val="nil"/>
              <w:left w:val="nil"/>
              <w:bottom w:val="single" w:sz="4" w:space="0" w:color="000000"/>
              <w:right w:val="nil"/>
            </w:tcBorders>
            <w:shd w:val="clear" w:color="auto" w:fill="auto"/>
            <w:vAlign w:val="bottom"/>
          </w:tcPr>
          <w:p w14:paraId="544D7FE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p</w:t>
            </w:r>
          </w:p>
        </w:tc>
        <w:tc>
          <w:tcPr>
            <w:tcW w:w="1220" w:type="dxa"/>
            <w:tcBorders>
              <w:top w:val="nil"/>
              <w:left w:val="nil"/>
              <w:bottom w:val="single" w:sz="4" w:space="0" w:color="000000"/>
              <w:right w:val="nil"/>
            </w:tcBorders>
            <w:shd w:val="clear" w:color="auto" w:fill="auto"/>
            <w:vAlign w:val="bottom"/>
          </w:tcPr>
          <w:p w14:paraId="3C30840E"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single" w:sz="4" w:space="0" w:color="000000"/>
              <w:right w:val="nil"/>
            </w:tcBorders>
            <w:shd w:val="clear" w:color="auto" w:fill="auto"/>
            <w:vAlign w:val="bottom"/>
          </w:tcPr>
          <w:p w14:paraId="2C46DD56"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single" w:sz="4" w:space="0" w:color="000000"/>
              <w:right w:val="nil"/>
            </w:tcBorders>
            <w:shd w:val="clear" w:color="auto" w:fill="auto"/>
            <w:vAlign w:val="bottom"/>
          </w:tcPr>
          <w:p w14:paraId="35A5F45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B</w:t>
            </w:r>
          </w:p>
        </w:tc>
        <w:tc>
          <w:tcPr>
            <w:tcW w:w="720" w:type="dxa"/>
            <w:tcBorders>
              <w:top w:val="nil"/>
              <w:left w:val="nil"/>
              <w:bottom w:val="single" w:sz="4" w:space="0" w:color="000000"/>
              <w:right w:val="nil"/>
            </w:tcBorders>
            <w:shd w:val="clear" w:color="auto" w:fill="auto"/>
            <w:vAlign w:val="bottom"/>
          </w:tcPr>
          <w:p w14:paraId="3A9AE3F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SE</w:t>
            </w:r>
          </w:p>
        </w:tc>
        <w:tc>
          <w:tcPr>
            <w:tcW w:w="1120" w:type="dxa"/>
            <w:tcBorders>
              <w:top w:val="nil"/>
              <w:left w:val="nil"/>
              <w:bottom w:val="single" w:sz="4" w:space="0" w:color="000000"/>
              <w:right w:val="nil"/>
            </w:tcBorders>
            <w:shd w:val="clear" w:color="auto" w:fill="auto"/>
            <w:vAlign w:val="bottom"/>
          </w:tcPr>
          <w:p w14:paraId="6327CC4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p</w:t>
            </w:r>
          </w:p>
        </w:tc>
      </w:tr>
      <w:tr w:rsidR="006E4B3A" w:rsidRPr="00A03CB5" w14:paraId="6C793657" w14:textId="77777777">
        <w:trPr>
          <w:trHeight w:val="320"/>
        </w:trPr>
        <w:tc>
          <w:tcPr>
            <w:tcW w:w="2320" w:type="dxa"/>
            <w:tcBorders>
              <w:top w:val="single" w:sz="4" w:space="0" w:color="000000"/>
              <w:left w:val="nil"/>
              <w:bottom w:val="nil"/>
              <w:right w:val="nil"/>
            </w:tcBorders>
            <w:shd w:val="clear" w:color="auto" w:fill="auto"/>
            <w:vAlign w:val="bottom"/>
          </w:tcPr>
          <w:p w14:paraId="5B8A5664"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6521119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2.74</w:t>
            </w:r>
          </w:p>
        </w:tc>
        <w:tc>
          <w:tcPr>
            <w:tcW w:w="720" w:type="dxa"/>
            <w:tcBorders>
              <w:top w:val="single" w:sz="4" w:space="0" w:color="000000"/>
              <w:left w:val="nil"/>
              <w:bottom w:val="nil"/>
              <w:right w:val="nil"/>
            </w:tcBorders>
            <w:shd w:val="clear" w:color="auto" w:fill="auto"/>
            <w:vAlign w:val="bottom"/>
          </w:tcPr>
          <w:p w14:paraId="40ADCBB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0.82</w:t>
            </w:r>
          </w:p>
        </w:tc>
        <w:tc>
          <w:tcPr>
            <w:tcW w:w="1120" w:type="dxa"/>
            <w:tcBorders>
              <w:top w:val="single" w:sz="4" w:space="0" w:color="000000"/>
              <w:left w:val="nil"/>
              <w:bottom w:val="nil"/>
              <w:right w:val="nil"/>
            </w:tcBorders>
            <w:shd w:val="clear" w:color="auto" w:fill="auto"/>
            <w:vAlign w:val="bottom"/>
          </w:tcPr>
          <w:p w14:paraId="666C115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single" w:sz="4" w:space="0" w:color="000000"/>
              <w:left w:val="nil"/>
              <w:bottom w:val="nil"/>
              <w:right w:val="nil"/>
            </w:tcBorders>
            <w:shd w:val="clear" w:color="auto" w:fill="auto"/>
            <w:vAlign w:val="bottom"/>
          </w:tcPr>
          <w:p w14:paraId="5AE2918B"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single" w:sz="4" w:space="0" w:color="000000"/>
              <w:left w:val="nil"/>
              <w:bottom w:val="nil"/>
              <w:right w:val="nil"/>
            </w:tcBorders>
            <w:shd w:val="clear" w:color="auto" w:fill="auto"/>
            <w:vAlign w:val="bottom"/>
          </w:tcPr>
          <w:p w14:paraId="40F67842"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4A7051F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2.12</w:t>
            </w:r>
          </w:p>
        </w:tc>
        <w:tc>
          <w:tcPr>
            <w:tcW w:w="720" w:type="dxa"/>
            <w:tcBorders>
              <w:top w:val="single" w:sz="4" w:space="0" w:color="000000"/>
              <w:left w:val="nil"/>
              <w:bottom w:val="nil"/>
              <w:right w:val="nil"/>
            </w:tcBorders>
            <w:shd w:val="clear" w:color="auto" w:fill="auto"/>
            <w:vAlign w:val="bottom"/>
          </w:tcPr>
          <w:p w14:paraId="52066B3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1.25</w:t>
            </w:r>
          </w:p>
        </w:tc>
        <w:tc>
          <w:tcPr>
            <w:tcW w:w="1120" w:type="dxa"/>
            <w:tcBorders>
              <w:top w:val="single" w:sz="4" w:space="0" w:color="000000"/>
              <w:left w:val="nil"/>
              <w:bottom w:val="nil"/>
              <w:right w:val="nil"/>
            </w:tcBorders>
            <w:shd w:val="clear" w:color="auto" w:fill="auto"/>
            <w:vAlign w:val="bottom"/>
          </w:tcPr>
          <w:p w14:paraId="5B4B228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0.091</w:t>
            </w:r>
          </w:p>
        </w:tc>
      </w:tr>
      <w:tr w:rsidR="006E4B3A" w:rsidRPr="00A03CB5" w14:paraId="3ECFA997" w14:textId="77777777">
        <w:trPr>
          <w:trHeight w:val="320"/>
        </w:trPr>
        <w:tc>
          <w:tcPr>
            <w:tcW w:w="2320" w:type="dxa"/>
            <w:tcBorders>
              <w:top w:val="nil"/>
              <w:left w:val="nil"/>
              <w:bottom w:val="nil"/>
              <w:right w:val="nil"/>
            </w:tcBorders>
            <w:shd w:val="clear" w:color="auto" w:fill="auto"/>
            <w:vAlign w:val="bottom"/>
          </w:tcPr>
          <w:p w14:paraId="01268D83"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3F0F8F4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0.49</w:t>
            </w:r>
          </w:p>
        </w:tc>
        <w:tc>
          <w:tcPr>
            <w:tcW w:w="720" w:type="dxa"/>
            <w:tcBorders>
              <w:top w:val="nil"/>
              <w:left w:val="nil"/>
              <w:bottom w:val="nil"/>
              <w:right w:val="nil"/>
            </w:tcBorders>
            <w:shd w:val="clear" w:color="auto" w:fill="auto"/>
            <w:vAlign w:val="bottom"/>
          </w:tcPr>
          <w:p w14:paraId="52F7F1C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0.21</w:t>
            </w:r>
          </w:p>
        </w:tc>
        <w:tc>
          <w:tcPr>
            <w:tcW w:w="1120" w:type="dxa"/>
            <w:tcBorders>
              <w:top w:val="nil"/>
              <w:left w:val="nil"/>
              <w:bottom w:val="nil"/>
              <w:right w:val="nil"/>
            </w:tcBorders>
            <w:shd w:val="clear" w:color="auto" w:fill="auto"/>
            <w:vAlign w:val="bottom"/>
          </w:tcPr>
          <w:p w14:paraId="0D034EF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0.021</w:t>
            </w:r>
          </w:p>
        </w:tc>
        <w:tc>
          <w:tcPr>
            <w:tcW w:w="1220" w:type="dxa"/>
            <w:tcBorders>
              <w:top w:val="nil"/>
              <w:left w:val="nil"/>
              <w:bottom w:val="nil"/>
              <w:right w:val="nil"/>
            </w:tcBorders>
            <w:shd w:val="clear" w:color="auto" w:fill="auto"/>
            <w:vAlign w:val="bottom"/>
          </w:tcPr>
          <w:p w14:paraId="52F81964"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12F2E0C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0AA5144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1.04</w:t>
            </w:r>
          </w:p>
        </w:tc>
        <w:tc>
          <w:tcPr>
            <w:tcW w:w="720" w:type="dxa"/>
            <w:tcBorders>
              <w:top w:val="nil"/>
              <w:left w:val="nil"/>
              <w:bottom w:val="nil"/>
              <w:right w:val="nil"/>
            </w:tcBorders>
            <w:shd w:val="clear" w:color="auto" w:fill="auto"/>
            <w:vAlign w:val="bottom"/>
          </w:tcPr>
          <w:p w14:paraId="7A0771D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0.39</w:t>
            </w:r>
          </w:p>
        </w:tc>
        <w:tc>
          <w:tcPr>
            <w:tcW w:w="1120" w:type="dxa"/>
            <w:tcBorders>
              <w:top w:val="nil"/>
              <w:left w:val="nil"/>
              <w:bottom w:val="nil"/>
              <w:right w:val="nil"/>
            </w:tcBorders>
            <w:shd w:val="clear" w:color="auto" w:fill="auto"/>
            <w:vAlign w:val="bottom"/>
          </w:tcPr>
          <w:p w14:paraId="0AA6DF4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0.008</w:t>
            </w:r>
          </w:p>
        </w:tc>
      </w:tr>
      <w:tr w:rsidR="006E4B3A" w:rsidRPr="00A03CB5" w14:paraId="3EC9FBA8" w14:textId="77777777">
        <w:trPr>
          <w:trHeight w:val="320"/>
        </w:trPr>
        <w:tc>
          <w:tcPr>
            <w:tcW w:w="2320" w:type="dxa"/>
            <w:tcBorders>
              <w:top w:val="nil"/>
              <w:left w:val="nil"/>
              <w:bottom w:val="nil"/>
              <w:right w:val="nil"/>
            </w:tcBorders>
            <w:shd w:val="clear" w:color="auto" w:fill="auto"/>
            <w:vAlign w:val="bottom"/>
          </w:tcPr>
          <w:p w14:paraId="3FA9CBB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6FF803D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720" w:type="dxa"/>
            <w:tcBorders>
              <w:top w:val="nil"/>
              <w:left w:val="nil"/>
              <w:bottom w:val="nil"/>
              <w:right w:val="nil"/>
            </w:tcBorders>
            <w:shd w:val="clear" w:color="auto" w:fill="auto"/>
            <w:vAlign w:val="bottom"/>
          </w:tcPr>
          <w:p w14:paraId="18B928D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1120" w:type="dxa"/>
            <w:tcBorders>
              <w:top w:val="nil"/>
              <w:left w:val="nil"/>
              <w:bottom w:val="nil"/>
              <w:right w:val="nil"/>
            </w:tcBorders>
            <w:shd w:val="clear" w:color="auto" w:fill="auto"/>
            <w:vAlign w:val="bottom"/>
          </w:tcPr>
          <w:p w14:paraId="126003F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0.389</w:t>
            </w:r>
          </w:p>
        </w:tc>
        <w:tc>
          <w:tcPr>
            <w:tcW w:w="1220" w:type="dxa"/>
            <w:tcBorders>
              <w:top w:val="nil"/>
              <w:left w:val="nil"/>
              <w:bottom w:val="nil"/>
              <w:right w:val="nil"/>
            </w:tcBorders>
            <w:shd w:val="clear" w:color="auto" w:fill="auto"/>
            <w:vAlign w:val="bottom"/>
          </w:tcPr>
          <w:p w14:paraId="0883ED80"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483AFCC6"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1A00176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720" w:type="dxa"/>
            <w:tcBorders>
              <w:top w:val="nil"/>
              <w:left w:val="nil"/>
              <w:bottom w:val="nil"/>
              <w:right w:val="nil"/>
            </w:tcBorders>
            <w:shd w:val="clear" w:color="auto" w:fill="auto"/>
            <w:vAlign w:val="bottom"/>
          </w:tcPr>
          <w:p w14:paraId="108E1A8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1120" w:type="dxa"/>
            <w:tcBorders>
              <w:top w:val="nil"/>
              <w:left w:val="nil"/>
              <w:bottom w:val="nil"/>
              <w:right w:val="nil"/>
            </w:tcBorders>
            <w:shd w:val="clear" w:color="auto" w:fill="auto"/>
            <w:vAlign w:val="bottom"/>
          </w:tcPr>
          <w:p w14:paraId="369CF75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0.038</w:t>
            </w:r>
          </w:p>
        </w:tc>
      </w:tr>
      <w:tr w:rsidR="006E4B3A" w:rsidRPr="00A03CB5" w14:paraId="4C60FDAB" w14:textId="77777777">
        <w:trPr>
          <w:trHeight w:val="320"/>
        </w:trPr>
        <w:tc>
          <w:tcPr>
            <w:tcW w:w="2320" w:type="dxa"/>
            <w:tcBorders>
              <w:top w:val="nil"/>
              <w:left w:val="nil"/>
              <w:bottom w:val="nil"/>
              <w:right w:val="nil"/>
            </w:tcBorders>
            <w:shd w:val="clear" w:color="auto" w:fill="auto"/>
            <w:vAlign w:val="bottom"/>
          </w:tcPr>
          <w:p w14:paraId="65C82C34"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4B54AE5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720" w:type="dxa"/>
            <w:tcBorders>
              <w:top w:val="nil"/>
              <w:left w:val="nil"/>
              <w:bottom w:val="nil"/>
              <w:right w:val="nil"/>
            </w:tcBorders>
            <w:shd w:val="clear" w:color="auto" w:fill="auto"/>
            <w:vAlign w:val="bottom"/>
          </w:tcPr>
          <w:p w14:paraId="0AB2201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0.08</w:t>
            </w:r>
          </w:p>
        </w:tc>
        <w:tc>
          <w:tcPr>
            <w:tcW w:w="1120" w:type="dxa"/>
            <w:tcBorders>
              <w:top w:val="nil"/>
              <w:left w:val="nil"/>
              <w:bottom w:val="nil"/>
              <w:right w:val="nil"/>
            </w:tcBorders>
            <w:shd w:val="clear" w:color="auto" w:fill="auto"/>
            <w:vAlign w:val="bottom"/>
          </w:tcPr>
          <w:p w14:paraId="6E8516C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0.533</w:t>
            </w:r>
          </w:p>
        </w:tc>
        <w:tc>
          <w:tcPr>
            <w:tcW w:w="1220" w:type="dxa"/>
            <w:tcBorders>
              <w:top w:val="nil"/>
              <w:left w:val="nil"/>
              <w:bottom w:val="nil"/>
              <w:right w:val="nil"/>
            </w:tcBorders>
            <w:shd w:val="clear" w:color="auto" w:fill="auto"/>
            <w:vAlign w:val="bottom"/>
          </w:tcPr>
          <w:p w14:paraId="02C87C29"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604FE18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738BA71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720" w:type="dxa"/>
            <w:tcBorders>
              <w:top w:val="nil"/>
              <w:left w:val="nil"/>
              <w:bottom w:val="nil"/>
              <w:right w:val="nil"/>
            </w:tcBorders>
            <w:shd w:val="clear" w:color="auto" w:fill="auto"/>
            <w:vAlign w:val="bottom"/>
          </w:tcPr>
          <w:p w14:paraId="4F965D9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0.10</w:t>
            </w:r>
          </w:p>
        </w:tc>
        <w:tc>
          <w:tcPr>
            <w:tcW w:w="1120" w:type="dxa"/>
            <w:tcBorders>
              <w:top w:val="nil"/>
              <w:left w:val="nil"/>
              <w:bottom w:val="nil"/>
              <w:right w:val="nil"/>
            </w:tcBorders>
            <w:shd w:val="clear" w:color="auto" w:fill="auto"/>
            <w:vAlign w:val="bottom"/>
          </w:tcPr>
          <w:p w14:paraId="56927A0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0.838</w:t>
            </w:r>
          </w:p>
        </w:tc>
      </w:tr>
      <w:tr w:rsidR="006E4B3A" w:rsidRPr="00A03CB5" w14:paraId="3CEDE234" w14:textId="77777777">
        <w:trPr>
          <w:trHeight w:val="320"/>
        </w:trPr>
        <w:tc>
          <w:tcPr>
            <w:tcW w:w="2320" w:type="dxa"/>
            <w:tcBorders>
              <w:top w:val="nil"/>
              <w:left w:val="nil"/>
              <w:bottom w:val="nil"/>
              <w:right w:val="nil"/>
            </w:tcBorders>
            <w:shd w:val="clear" w:color="auto" w:fill="auto"/>
            <w:vAlign w:val="bottom"/>
          </w:tcPr>
          <w:p w14:paraId="3FF064C2"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045645F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0.27</w:t>
            </w:r>
          </w:p>
        </w:tc>
        <w:tc>
          <w:tcPr>
            <w:tcW w:w="720" w:type="dxa"/>
            <w:tcBorders>
              <w:top w:val="nil"/>
              <w:left w:val="nil"/>
              <w:bottom w:val="nil"/>
              <w:right w:val="nil"/>
            </w:tcBorders>
            <w:shd w:val="clear" w:color="auto" w:fill="auto"/>
            <w:vAlign w:val="bottom"/>
          </w:tcPr>
          <w:p w14:paraId="7CC5CB6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1120" w:type="dxa"/>
            <w:tcBorders>
              <w:top w:val="nil"/>
              <w:left w:val="nil"/>
              <w:bottom w:val="nil"/>
              <w:right w:val="nil"/>
            </w:tcBorders>
            <w:shd w:val="clear" w:color="auto" w:fill="auto"/>
            <w:vAlign w:val="bottom"/>
          </w:tcPr>
          <w:p w14:paraId="4B18DF4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nil"/>
              <w:left w:val="nil"/>
              <w:bottom w:val="nil"/>
              <w:right w:val="nil"/>
            </w:tcBorders>
            <w:shd w:val="clear" w:color="auto" w:fill="auto"/>
            <w:vAlign w:val="bottom"/>
          </w:tcPr>
          <w:p w14:paraId="143A4465"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1A5E808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367495F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0.33</w:t>
            </w:r>
          </w:p>
        </w:tc>
        <w:tc>
          <w:tcPr>
            <w:tcW w:w="720" w:type="dxa"/>
            <w:tcBorders>
              <w:top w:val="nil"/>
              <w:left w:val="nil"/>
              <w:bottom w:val="nil"/>
              <w:right w:val="nil"/>
            </w:tcBorders>
            <w:shd w:val="clear" w:color="auto" w:fill="auto"/>
            <w:vAlign w:val="bottom"/>
          </w:tcPr>
          <w:p w14:paraId="31AA6BB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1120" w:type="dxa"/>
            <w:tcBorders>
              <w:top w:val="nil"/>
              <w:left w:val="nil"/>
              <w:bottom w:val="nil"/>
              <w:right w:val="nil"/>
            </w:tcBorders>
            <w:shd w:val="clear" w:color="auto" w:fill="auto"/>
            <w:vAlign w:val="bottom"/>
          </w:tcPr>
          <w:p w14:paraId="71F41C4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r>
      <w:tr w:rsidR="006E4B3A" w:rsidRPr="00A03CB5" w14:paraId="03088DD0" w14:textId="77777777">
        <w:trPr>
          <w:trHeight w:val="320"/>
        </w:trPr>
        <w:tc>
          <w:tcPr>
            <w:tcW w:w="2320" w:type="dxa"/>
            <w:tcBorders>
              <w:top w:val="nil"/>
              <w:left w:val="nil"/>
              <w:bottom w:val="nil"/>
              <w:right w:val="nil"/>
            </w:tcBorders>
            <w:shd w:val="clear" w:color="auto" w:fill="auto"/>
            <w:vAlign w:val="bottom"/>
          </w:tcPr>
          <w:p w14:paraId="0D0BBBE3"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(within)</w:t>
            </w:r>
          </w:p>
        </w:tc>
        <w:tc>
          <w:tcPr>
            <w:tcW w:w="940" w:type="dxa"/>
            <w:tcBorders>
              <w:top w:val="nil"/>
              <w:left w:val="nil"/>
              <w:bottom w:val="nil"/>
              <w:right w:val="nil"/>
            </w:tcBorders>
            <w:shd w:val="clear" w:color="auto" w:fill="auto"/>
            <w:vAlign w:val="bottom"/>
          </w:tcPr>
          <w:p w14:paraId="1633A28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720" w:type="dxa"/>
            <w:tcBorders>
              <w:top w:val="nil"/>
              <w:left w:val="nil"/>
              <w:bottom w:val="nil"/>
              <w:right w:val="nil"/>
            </w:tcBorders>
            <w:shd w:val="clear" w:color="auto" w:fill="auto"/>
            <w:vAlign w:val="bottom"/>
          </w:tcPr>
          <w:p w14:paraId="55EEA4D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1120" w:type="dxa"/>
            <w:tcBorders>
              <w:top w:val="nil"/>
              <w:left w:val="nil"/>
              <w:bottom w:val="nil"/>
              <w:right w:val="nil"/>
            </w:tcBorders>
            <w:shd w:val="clear" w:color="auto" w:fill="auto"/>
            <w:vAlign w:val="bottom"/>
          </w:tcPr>
          <w:p w14:paraId="3F37258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0.556</w:t>
            </w:r>
          </w:p>
        </w:tc>
        <w:tc>
          <w:tcPr>
            <w:tcW w:w="1220" w:type="dxa"/>
            <w:tcBorders>
              <w:top w:val="nil"/>
              <w:left w:val="nil"/>
              <w:bottom w:val="nil"/>
              <w:right w:val="nil"/>
            </w:tcBorders>
            <w:shd w:val="clear" w:color="auto" w:fill="auto"/>
            <w:vAlign w:val="bottom"/>
          </w:tcPr>
          <w:p w14:paraId="41A84A58"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7038EDA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Prior FA (within)</w:t>
            </w:r>
          </w:p>
        </w:tc>
        <w:tc>
          <w:tcPr>
            <w:tcW w:w="940" w:type="dxa"/>
            <w:tcBorders>
              <w:top w:val="nil"/>
              <w:left w:val="nil"/>
              <w:bottom w:val="nil"/>
              <w:right w:val="nil"/>
            </w:tcBorders>
            <w:shd w:val="clear" w:color="auto" w:fill="auto"/>
            <w:vAlign w:val="bottom"/>
          </w:tcPr>
          <w:p w14:paraId="530312A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720" w:type="dxa"/>
            <w:tcBorders>
              <w:top w:val="nil"/>
              <w:left w:val="nil"/>
              <w:bottom w:val="nil"/>
              <w:right w:val="nil"/>
            </w:tcBorders>
            <w:shd w:val="clear" w:color="auto" w:fill="auto"/>
            <w:vAlign w:val="bottom"/>
          </w:tcPr>
          <w:p w14:paraId="37EEDCB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1120" w:type="dxa"/>
            <w:tcBorders>
              <w:top w:val="nil"/>
              <w:left w:val="nil"/>
              <w:bottom w:val="nil"/>
              <w:right w:val="nil"/>
            </w:tcBorders>
            <w:shd w:val="clear" w:color="auto" w:fill="auto"/>
            <w:vAlign w:val="bottom"/>
          </w:tcPr>
          <w:p w14:paraId="6197439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0.428</w:t>
            </w:r>
          </w:p>
        </w:tc>
      </w:tr>
      <w:tr w:rsidR="006E4B3A" w:rsidRPr="00A03CB5" w14:paraId="08B459EB" w14:textId="77777777">
        <w:trPr>
          <w:trHeight w:val="320"/>
        </w:trPr>
        <w:tc>
          <w:tcPr>
            <w:tcW w:w="2320" w:type="dxa"/>
            <w:tcBorders>
              <w:top w:val="nil"/>
              <w:left w:val="nil"/>
              <w:bottom w:val="nil"/>
              <w:right w:val="nil"/>
            </w:tcBorders>
            <w:shd w:val="clear" w:color="auto" w:fill="auto"/>
            <w:vAlign w:val="bottom"/>
          </w:tcPr>
          <w:p w14:paraId="7A352080"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632CDAB1"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4ACEA35F"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745E6301"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nil"/>
              <w:right w:val="nil"/>
            </w:tcBorders>
            <w:shd w:val="clear" w:color="auto" w:fill="auto"/>
            <w:vAlign w:val="bottom"/>
          </w:tcPr>
          <w:p w14:paraId="640901FD"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489E4504"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7ACA78D3"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448A36B4"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05618191"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223DCB49" w14:textId="77777777">
        <w:trPr>
          <w:trHeight w:val="320"/>
        </w:trPr>
        <w:tc>
          <w:tcPr>
            <w:tcW w:w="3260" w:type="dxa"/>
            <w:gridSpan w:val="2"/>
            <w:tcBorders>
              <w:top w:val="nil"/>
              <w:left w:val="nil"/>
              <w:bottom w:val="single" w:sz="4" w:space="0" w:color="000000"/>
              <w:right w:val="nil"/>
            </w:tcBorders>
            <w:shd w:val="clear" w:color="auto" w:fill="auto"/>
            <w:vAlign w:val="bottom"/>
          </w:tcPr>
          <w:p w14:paraId="09EA2F5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Convenience store</w:t>
            </w:r>
          </w:p>
        </w:tc>
        <w:tc>
          <w:tcPr>
            <w:tcW w:w="720" w:type="dxa"/>
            <w:tcBorders>
              <w:top w:val="nil"/>
              <w:left w:val="nil"/>
              <w:bottom w:val="single" w:sz="4" w:space="0" w:color="000000"/>
              <w:right w:val="nil"/>
            </w:tcBorders>
            <w:shd w:val="clear" w:color="auto" w:fill="auto"/>
            <w:vAlign w:val="bottom"/>
          </w:tcPr>
          <w:p w14:paraId="7827D5F4"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2B47E34F"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single" w:sz="4" w:space="0" w:color="000000"/>
              <w:right w:val="nil"/>
            </w:tcBorders>
            <w:shd w:val="clear" w:color="auto" w:fill="auto"/>
            <w:vAlign w:val="bottom"/>
          </w:tcPr>
          <w:p w14:paraId="7FE8164D"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single" w:sz="4" w:space="0" w:color="000000"/>
              <w:right w:val="nil"/>
            </w:tcBorders>
            <w:shd w:val="clear" w:color="auto" w:fill="auto"/>
            <w:vAlign w:val="bottom"/>
          </w:tcPr>
          <w:p w14:paraId="05AC888E"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single" w:sz="4" w:space="0" w:color="000000"/>
              <w:right w:val="nil"/>
            </w:tcBorders>
            <w:shd w:val="clear" w:color="auto" w:fill="auto"/>
            <w:vAlign w:val="bottom"/>
          </w:tcPr>
          <w:p w14:paraId="46FF575F"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single" w:sz="4" w:space="0" w:color="000000"/>
              <w:right w:val="nil"/>
            </w:tcBorders>
            <w:shd w:val="clear" w:color="auto" w:fill="auto"/>
            <w:vAlign w:val="bottom"/>
          </w:tcPr>
          <w:p w14:paraId="4CC7C2A9"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26839D7F"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1DC0A7EF" w14:textId="77777777">
        <w:trPr>
          <w:trHeight w:val="320"/>
        </w:trPr>
        <w:tc>
          <w:tcPr>
            <w:tcW w:w="2320" w:type="dxa"/>
            <w:tcBorders>
              <w:top w:val="single" w:sz="4" w:space="0" w:color="000000"/>
              <w:left w:val="nil"/>
              <w:bottom w:val="nil"/>
              <w:right w:val="nil"/>
            </w:tcBorders>
            <w:shd w:val="clear" w:color="auto" w:fill="auto"/>
            <w:vAlign w:val="bottom"/>
          </w:tcPr>
          <w:p w14:paraId="37AC6133"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6B19A56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1.51</w:t>
            </w:r>
          </w:p>
        </w:tc>
        <w:tc>
          <w:tcPr>
            <w:tcW w:w="720" w:type="dxa"/>
            <w:tcBorders>
              <w:top w:val="single" w:sz="4" w:space="0" w:color="000000"/>
              <w:left w:val="nil"/>
              <w:bottom w:val="nil"/>
              <w:right w:val="nil"/>
            </w:tcBorders>
            <w:shd w:val="clear" w:color="auto" w:fill="auto"/>
            <w:vAlign w:val="bottom"/>
          </w:tcPr>
          <w:p w14:paraId="51EB9CB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0.42</w:t>
            </w:r>
          </w:p>
        </w:tc>
        <w:tc>
          <w:tcPr>
            <w:tcW w:w="1120" w:type="dxa"/>
            <w:tcBorders>
              <w:top w:val="single" w:sz="4" w:space="0" w:color="000000"/>
              <w:left w:val="nil"/>
              <w:bottom w:val="nil"/>
              <w:right w:val="nil"/>
            </w:tcBorders>
            <w:shd w:val="clear" w:color="auto" w:fill="auto"/>
            <w:vAlign w:val="bottom"/>
          </w:tcPr>
          <w:p w14:paraId="56E7DDC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single" w:sz="4" w:space="0" w:color="000000"/>
              <w:left w:val="nil"/>
              <w:bottom w:val="nil"/>
              <w:right w:val="nil"/>
            </w:tcBorders>
            <w:shd w:val="clear" w:color="auto" w:fill="auto"/>
            <w:vAlign w:val="bottom"/>
          </w:tcPr>
          <w:p w14:paraId="183468E6"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single" w:sz="4" w:space="0" w:color="000000"/>
              <w:left w:val="nil"/>
              <w:bottom w:val="nil"/>
              <w:right w:val="nil"/>
            </w:tcBorders>
            <w:shd w:val="clear" w:color="auto" w:fill="auto"/>
            <w:vAlign w:val="bottom"/>
          </w:tcPr>
          <w:p w14:paraId="2DA9033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47ED2FA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1.08</w:t>
            </w:r>
          </w:p>
        </w:tc>
        <w:tc>
          <w:tcPr>
            <w:tcW w:w="720" w:type="dxa"/>
            <w:tcBorders>
              <w:top w:val="single" w:sz="4" w:space="0" w:color="000000"/>
              <w:left w:val="nil"/>
              <w:bottom w:val="nil"/>
              <w:right w:val="nil"/>
            </w:tcBorders>
            <w:shd w:val="clear" w:color="auto" w:fill="auto"/>
            <w:vAlign w:val="bottom"/>
          </w:tcPr>
          <w:p w14:paraId="71499E8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0.66</w:t>
            </w:r>
          </w:p>
        </w:tc>
        <w:tc>
          <w:tcPr>
            <w:tcW w:w="1120" w:type="dxa"/>
            <w:tcBorders>
              <w:top w:val="single" w:sz="4" w:space="0" w:color="000000"/>
              <w:left w:val="nil"/>
              <w:bottom w:val="nil"/>
              <w:right w:val="nil"/>
            </w:tcBorders>
            <w:shd w:val="clear" w:color="auto" w:fill="auto"/>
            <w:vAlign w:val="bottom"/>
          </w:tcPr>
          <w:p w14:paraId="3053E68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0.105</w:t>
            </w:r>
          </w:p>
        </w:tc>
      </w:tr>
      <w:tr w:rsidR="006E4B3A" w:rsidRPr="00A03CB5" w14:paraId="54BB6059" w14:textId="77777777">
        <w:trPr>
          <w:trHeight w:val="320"/>
        </w:trPr>
        <w:tc>
          <w:tcPr>
            <w:tcW w:w="2320" w:type="dxa"/>
            <w:tcBorders>
              <w:top w:val="nil"/>
              <w:left w:val="nil"/>
              <w:bottom w:val="nil"/>
              <w:right w:val="nil"/>
            </w:tcBorders>
            <w:shd w:val="clear" w:color="auto" w:fill="auto"/>
            <w:vAlign w:val="bottom"/>
          </w:tcPr>
          <w:p w14:paraId="02F7473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6373656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720" w:type="dxa"/>
            <w:tcBorders>
              <w:top w:val="nil"/>
              <w:left w:val="nil"/>
              <w:bottom w:val="nil"/>
              <w:right w:val="nil"/>
            </w:tcBorders>
            <w:shd w:val="clear" w:color="auto" w:fill="auto"/>
            <w:vAlign w:val="bottom"/>
          </w:tcPr>
          <w:p w14:paraId="5D057C7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0.11</w:t>
            </w:r>
          </w:p>
        </w:tc>
        <w:tc>
          <w:tcPr>
            <w:tcW w:w="1120" w:type="dxa"/>
            <w:tcBorders>
              <w:top w:val="nil"/>
              <w:left w:val="nil"/>
              <w:bottom w:val="nil"/>
              <w:right w:val="nil"/>
            </w:tcBorders>
            <w:shd w:val="clear" w:color="auto" w:fill="auto"/>
            <w:vAlign w:val="bottom"/>
          </w:tcPr>
          <w:p w14:paraId="368457C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0.669</w:t>
            </w:r>
          </w:p>
        </w:tc>
        <w:tc>
          <w:tcPr>
            <w:tcW w:w="1220" w:type="dxa"/>
            <w:tcBorders>
              <w:top w:val="nil"/>
              <w:left w:val="nil"/>
              <w:bottom w:val="nil"/>
              <w:right w:val="nil"/>
            </w:tcBorders>
            <w:shd w:val="clear" w:color="auto" w:fill="auto"/>
            <w:vAlign w:val="bottom"/>
          </w:tcPr>
          <w:p w14:paraId="0E28BE92"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4C23A6E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0EC5D64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0.22</w:t>
            </w:r>
          </w:p>
        </w:tc>
        <w:tc>
          <w:tcPr>
            <w:tcW w:w="720" w:type="dxa"/>
            <w:tcBorders>
              <w:top w:val="nil"/>
              <w:left w:val="nil"/>
              <w:bottom w:val="nil"/>
              <w:right w:val="nil"/>
            </w:tcBorders>
            <w:shd w:val="clear" w:color="auto" w:fill="auto"/>
            <w:vAlign w:val="bottom"/>
          </w:tcPr>
          <w:p w14:paraId="56BA927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0.21</w:t>
            </w:r>
          </w:p>
        </w:tc>
        <w:tc>
          <w:tcPr>
            <w:tcW w:w="1120" w:type="dxa"/>
            <w:tcBorders>
              <w:top w:val="nil"/>
              <w:left w:val="nil"/>
              <w:bottom w:val="nil"/>
              <w:right w:val="nil"/>
            </w:tcBorders>
            <w:shd w:val="clear" w:color="auto" w:fill="auto"/>
            <w:vAlign w:val="bottom"/>
          </w:tcPr>
          <w:p w14:paraId="4E9211A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0.302</w:t>
            </w:r>
          </w:p>
        </w:tc>
      </w:tr>
      <w:tr w:rsidR="006E4B3A" w:rsidRPr="00A03CB5" w14:paraId="313EBDF7" w14:textId="77777777">
        <w:trPr>
          <w:trHeight w:val="320"/>
        </w:trPr>
        <w:tc>
          <w:tcPr>
            <w:tcW w:w="2320" w:type="dxa"/>
            <w:tcBorders>
              <w:top w:val="nil"/>
              <w:left w:val="nil"/>
              <w:bottom w:val="nil"/>
              <w:right w:val="nil"/>
            </w:tcBorders>
            <w:shd w:val="clear" w:color="auto" w:fill="auto"/>
            <w:vAlign w:val="bottom"/>
          </w:tcPr>
          <w:p w14:paraId="336C10C6"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53CC389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720" w:type="dxa"/>
            <w:tcBorders>
              <w:top w:val="nil"/>
              <w:left w:val="nil"/>
              <w:bottom w:val="nil"/>
              <w:right w:val="nil"/>
            </w:tcBorders>
            <w:shd w:val="clear" w:color="auto" w:fill="auto"/>
            <w:vAlign w:val="bottom"/>
          </w:tcPr>
          <w:p w14:paraId="5CA50A8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1120" w:type="dxa"/>
            <w:tcBorders>
              <w:top w:val="nil"/>
              <w:left w:val="nil"/>
              <w:bottom w:val="nil"/>
              <w:right w:val="nil"/>
            </w:tcBorders>
            <w:shd w:val="clear" w:color="auto" w:fill="auto"/>
            <w:vAlign w:val="bottom"/>
          </w:tcPr>
          <w:p w14:paraId="42926E1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0.637</w:t>
            </w:r>
          </w:p>
        </w:tc>
        <w:tc>
          <w:tcPr>
            <w:tcW w:w="1220" w:type="dxa"/>
            <w:tcBorders>
              <w:top w:val="nil"/>
              <w:left w:val="nil"/>
              <w:bottom w:val="nil"/>
              <w:right w:val="nil"/>
            </w:tcBorders>
            <w:shd w:val="clear" w:color="auto" w:fill="auto"/>
            <w:vAlign w:val="bottom"/>
          </w:tcPr>
          <w:p w14:paraId="0695F193"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416154F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4E065DC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&lt;0.01</w:t>
            </w:r>
          </w:p>
        </w:tc>
        <w:tc>
          <w:tcPr>
            <w:tcW w:w="720" w:type="dxa"/>
            <w:tcBorders>
              <w:top w:val="nil"/>
              <w:left w:val="nil"/>
              <w:bottom w:val="nil"/>
              <w:right w:val="nil"/>
            </w:tcBorders>
            <w:shd w:val="clear" w:color="auto" w:fill="auto"/>
            <w:vAlign w:val="bottom"/>
          </w:tcPr>
          <w:p w14:paraId="65487C6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1120" w:type="dxa"/>
            <w:tcBorders>
              <w:top w:val="nil"/>
              <w:left w:val="nil"/>
              <w:bottom w:val="nil"/>
              <w:right w:val="nil"/>
            </w:tcBorders>
            <w:shd w:val="clear" w:color="auto" w:fill="auto"/>
            <w:vAlign w:val="bottom"/>
          </w:tcPr>
          <w:p w14:paraId="28D93E7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0.794</w:t>
            </w:r>
          </w:p>
        </w:tc>
      </w:tr>
      <w:tr w:rsidR="006E4B3A" w:rsidRPr="00A03CB5" w14:paraId="3FAB5B71" w14:textId="77777777">
        <w:trPr>
          <w:trHeight w:val="320"/>
        </w:trPr>
        <w:tc>
          <w:tcPr>
            <w:tcW w:w="2320" w:type="dxa"/>
            <w:tcBorders>
              <w:top w:val="nil"/>
              <w:left w:val="nil"/>
              <w:bottom w:val="nil"/>
              <w:right w:val="nil"/>
            </w:tcBorders>
            <w:shd w:val="clear" w:color="auto" w:fill="auto"/>
            <w:vAlign w:val="bottom"/>
          </w:tcPr>
          <w:p w14:paraId="4F0A78EF"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5FCE383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720" w:type="dxa"/>
            <w:tcBorders>
              <w:top w:val="nil"/>
              <w:left w:val="nil"/>
              <w:bottom w:val="nil"/>
              <w:right w:val="nil"/>
            </w:tcBorders>
            <w:shd w:val="clear" w:color="auto" w:fill="auto"/>
            <w:vAlign w:val="bottom"/>
          </w:tcPr>
          <w:p w14:paraId="0550B76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0.04</w:t>
            </w:r>
          </w:p>
        </w:tc>
        <w:tc>
          <w:tcPr>
            <w:tcW w:w="1120" w:type="dxa"/>
            <w:tcBorders>
              <w:top w:val="nil"/>
              <w:left w:val="nil"/>
              <w:bottom w:val="nil"/>
              <w:right w:val="nil"/>
            </w:tcBorders>
            <w:shd w:val="clear" w:color="auto" w:fill="auto"/>
            <w:vAlign w:val="bottom"/>
          </w:tcPr>
          <w:p w14:paraId="0498E78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0.203</w:t>
            </w:r>
          </w:p>
        </w:tc>
        <w:tc>
          <w:tcPr>
            <w:tcW w:w="1220" w:type="dxa"/>
            <w:tcBorders>
              <w:top w:val="nil"/>
              <w:left w:val="nil"/>
              <w:bottom w:val="nil"/>
              <w:right w:val="nil"/>
            </w:tcBorders>
            <w:shd w:val="clear" w:color="auto" w:fill="auto"/>
            <w:vAlign w:val="bottom"/>
          </w:tcPr>
          <w:p w14:paraId="78F7CCBC"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55763132"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324A306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720" w:type="dxa"/>
            <w:tcBorders>
              <w:top w:val="nil"/>
              <w:left w:val="nil"/>
              <w:bottom w:val="nil"/>
              <w:right w:val="nil"/>
            </w:tcBorders>
            <w:shd w:val="clear" w:color="auto" w:fill="auto"/>
            <w:vAlign w:val="bottom"/>
          </w:tcPr>
          <w:p w14:paraId="632F556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0.05</w:t>
            </w:r>
          </w:p>
        </w:tc>
        <w:tc>
          <w:tcPr>
            <w:tcW w:w="1120" w:type="dxa"/>
            <w:tcBorders>
              <w:top w:val="nil"/>
              <w:left w:val="nil"/>
              <w:bottom w:val="nil"/>
              <w:right w:val="nil"/>
            </w:tcBorders>
            <w:shd w:val="clear" w:color="auto" w:fill="auto"/>
            <w:vAlign w:val="bottom"/>
          </w:tcPr>
          <w:p w14:paraId="29EB370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0.222</w:t>
            </w:r>
          </w:p>
        </w:tc>
      </w:tr>
      <w:tr w:rsidR="006E4B3A" w:rsidRPr="00A03CB5" w14:paraId="7F972108" w14:textId="77777777">
        <w:trPr>
          <w:trHeight w:val="320"/>
        </w:trPr>
        <w:tc>
          <w:tcPr>
            <w:tcW w:w="2320" w:type="dxa"/>
            <w:tcBorders>
              <w:top w:val="nil"/>
              <w:left w:val="nil"/>
              <w:bottom w:val="nil"/>
              <w:right w:val="nil"/>
            </w:tcBorders>
            <w:shd w:val="clear" w:color="auto" w:fill="auto"/>
            <w:vAlign w:val="bottom"/>
          </w:tcPr>
          <w:p w14:paraId="2BDFCB9A"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4392ACB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0.12</w:t>
            </w:r>
          </w:p>
        </w:tc>
        <w:tc>
          <w:tcPr>
            <w:tcW w:w="720" w:type="dxa"/>
            <w:tcBorders>
              <w:top w:val="nil"/>
              <w:left w:val="nil"/>
              <w:bottom w:val="nil"/>
              <w:right w:val="nil"/>
            </w:tcBorders>
            <w:shd w:val="clear" w:color="auto" w:fill="auto"/>
            <w:vAlign w:val="bottom"/>
          </w:tcPr>
          <w:p w14:paraId="6CF88CD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1120" w:type="dxa"/>
            <w:tcBorders>
              <w:top w:val="nil"/>
              <w:left w:val="nil"/>
              <w:bottom w:val="nil"/>
              <w:right w:val="nil"/>
            </w:tcBorders>
            <w:shd w:val="clear" w:color="auto" w:fill="auto"/>
            <w:vAlign w:val="bottom"/>
          </w:tcPr>
          <w:p w14:paraId="163F31C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nil"/>
              <w:left w:val="nil"/>
              <w:bottom w:val="nil"/>
              <w:right w:val="nil"/>
            </w:tcBorders>
            <w:shd w:val="clear" w:color="auto" w:fill="auto"/>
            <w:vAlign w:val="bottom"/>
          </w:tcPr>
          <w:p w14:paraId="11665354"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1D97666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5441442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0.15</w:t>
            </w:r>
          </w:p>
        </w:tc>
        <w:tc>
          <w:tcPr>
            <w:tcW w:w="720" w:type="dxa"/>
            <w:tcBorders>
              <w:top w:val="nil"/>
              <w:left w:val="nil"/>
              <w:bottom w:val="nil"/>
              <w:right w:val="nil"/>
            </w:tcBorders>
            <w:shd w:val="clear" w:color="auto" w:fill="auto"/>
            <w:vAlign w:val="bottom"/>
          </w:tcPr>
          <w:p w14:paraId="66E177B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1120" w:type="dxa"/>
            <w:tcBorders>
              <w:top w:val="nil"/>
              <w:left w:val="nil"/>
              <w:bottom w:val="nil"/>
              <w:right w:val="nil"/>
            </w:tcBorders>
            <w:shd w:val="clear" w:color="auto" w:fill="auto"/>
            <w:vAlign w:val="bottom"/>
          </w:tcPr>
          <w:p w14:paraId="72BAB3F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r>
      <w:tr w:rsidR="006E4B3A" w:rsidRPr="00A03CB5" w14:paraId="2FB46AAD" w14:textId="77777777">
        <w:trPr>
          <w:trHeight w:val="320"/>
        </w:trPr>
        <w:tc>
          <w:tcPr>
            <w:tcW w:w="2320" w:type="dxa"/>
            <w:tcBorders>
              <w:top w:val="nil"/>
              <w:left w:val="nil"/>
              <w:bottom w:val="nil"/>
              <w:right w:val="nil"/>
            </w:tcBorders>
            <w:shd w:val="clear" w:color="auto" w:fill="auto"/>
            <w:vAlign w:val="bottom"/>
          </w:tcPr>
          <w:p w14:paraId="63DB3E5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(within)</w:t>
            </w:r>
          </w:p>
        </w:tc>
        <w:tc>
          <w:tcPr>
            <w:tcW w:w="940" w:type="dxa"/>
            <w:tcBorders>
              <w:top w:val="nil"/>
              <w:left w:val="nil"/>
              <w:bottom w:val="nil"/>
              <w:right w:val="nil"/>
            </w:tcBorders>
            <w:shd w:val="clear" w:color="auto" w:fill="auto"/>
            <w:vAlign w:val="bottom"/>
          </w:tcPr>
          <w:p w14:paraId="6CF39B5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720" w:type="dxa"/>
            <w:tcBorders>
              <w:top w:val="nil"/>
              <w:left w:val="nil"/>
              <w:bottom w:val="nil"/>
              <w:right w:val="nil"/>
            </w:tcBorders>
            <w:shd w:val="clear" w:color="auto" w:fill="auto"/>
            <w:vAlign w:val="bottom"/>
          </w:tcPr>
          <w:p w14:paraId="589B75F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1120" w:type="dxa"/>
            <w:tcBorders>
              <w:top w:val="nil"/>
              <w:left w:val="nil"/>
              <w:bottom w:val="nil"/>
              <w:right w:val="nil"/>
            </w:tcBorders>
            <w:shd w:val="clear" w:color="auto" w:fill="auto"/>
            <w:vAlign w:val="bottom"/>
          </w:tcPr>
          <w:p w14:paraId="5F08FC9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0.217</w:t>
            </w:r>
          </w:p>
        </w:tc>
        <w:tc>
          <w:tcPr>
            <w:tcW w:w="1220" w:type="dxa"/>
            <w:tcBorders>
              <w:top w:val="nil"/>
              <w:left w:val="nil"/>
              <w:bottom w:val="nil"/>
              <w:right w:val="nil"/>
            </w:tcBorders>
            <w:shd w:val="clear" w:color="auto" w:fill="auto"/>
            <w:vAlign w:val="bottom"/>
          </w:tcPr>
          <w:p w14:paraId="76CE01DE"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582A8E8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Prior FA (within)</w:t>
            </w:r>
          </w:p>
        </w:tc>
        <w:tc>
          <w:tcPr>
            <w:tcW w:w="940" w:type="dxa"/>
            <w:tcBorders>
              <w:top w:val="nil"/>
              <w:left w:val="nil"/>
              <w:bottom w:val="nil"/>
              <w:right w:val="nil"/>
            </w:tcBorders>
            <w:shd w:val="clear" w:color="auto" w:fill="auto"/>
            <w:vAlign w:val="bottom"/>
          </w:tcPr>
          <w:p w14:paraId="73AA5B4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720" w:type="dxa"/>
            <w:tcBorders>
              <w:top w:val="nil"/>
              <w:left w:val="nil"/>
              <w:bottom w:val="nil"/>
              <w:right w:val="nil"/>
            </w:tcBorders>
            <w:shd w:val="clear" w:color="auto" w:fill="auto"/>
            <w:vAlign w:val="bottom"/>
          </w:tcPr>
          <w:p w14:paraId="697DBB1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1120" w:type="dxa"/>
            <w:tcBorders>
              <w:top w:val="nil"/>
              <w:left w:val="nil"/>
              <w:bottom w:val="nil"/>
              <w:right w:val="nil"/>
            </w:tcBorders>
            <w:shd w:val="clear" w:color="auto" w:fill="auto"/>
            <w:vAlign w:val="bottom"/>
          </w:tcPr>
          <w:p w14:paraId="17804A7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0.491</w:t>
            </w:r>
          </w:p>
        </w:tc>
      </w:tr>
      <w:tr w:rsidR="006E4B3A" w:rsidRPr="00A03CB5" w14:paraId="1F83983F" w14:textId="77777777">
        <w:trPr>
          <w:trHeight w:val="320"/>
        </w:trPr>
        <w:tc>
          <w:tcPr>
            <w:tcW w:w="2320" w:type="dxa"/>
            <w:tcBorders>
              <w:top w:val="nil"/>
              <w:left w:val="nil"/>
              <w:bottom w:val="nil"/>
              <w:right w:val="nil"/>
            </w:tcBorders>
            <w:shd w:val="clear" w:color="auto" w:fill="auto"/>
            <w:vAlign w:val="bottom"/>
          </w:tcPr>
          <w:p w14:paraId="376D4D55"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773C9197"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69AA3448"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41A493AF"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nil"/>
              <w:right w:val="nil"/>
            </w:tcBorders>
            <w:shd w:val="clear" w:color="auto" w:fill="auto"/>
            <w:vAlign w:val="bottom"/>
          </w:tcPr>
          <w:p w14:paraId="61C27F22"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7D941E07"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3650FB37"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5BC22C72"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432FE57C"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4FB9C130" w14:textId="77777777">
        <w:trPr>
          <w:trHeight w:val="320"/>
        </w:trPr>
        <w:tc>
          <w:tcPr>
            <w:tcW w:w="2320" w:type="dxa"/>
            <w:tcBorders>
              <w:top w:val="nil"/>
              <w:left w:val="nil"/>
              <w:bottom w:val="single" w:sz="4" w:space="0" w:color="000000"/>
              <w:right w:val="nil"/>
            </w:tcBorders>
            <w:shd w:val="clear" w:color="auto" w:fill="auto"/>
            <w:vAlign w:val="bottom"/>
          </w:tcPr>
          <w:p w14:paraId="1674665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Heat and serve</w:t>
            </w:r>
          </w:p>
        </w:tc>
        <w:tc>
          <w:tcPr>
            <w:tcW w:w="940" w:type="dxa"/>
            <w:tcBorders>
              <w:top w:val="nil"/>
              <w:left w:val="nil"/>
              <w:bottom w:val="single" w:sz="4" w:space="0" w:color="000000"/>
              <w:right w:val="nil"/>
            </w:tcBorders>
            <w:shd w:val="clear" w:color="auto" w:fill="auto"/>
            <w:vAlign w:val="bottom"/>
          </w:tcPr>
          <w:p w14:paraId="0A867C43"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single" w:sz="4" w:space="0" w:color="000000"/>
              <w:right w:val="nil"/>
            </w:tcBorders>
            <w:shd w:val="clear" w:color="auto" w:fill="auto"/>
            <w:vAlign w:val="bottom"/>
          </w:tcPr>
          <w:p w14:paraId="6459BE5A"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61E85C62"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single" w:sz="4" w:space="0" w:color="000000"/>
              <w:right w:val="nil"/>
            </w:tcBorders>
            <w:shd w:val="clear" w:color="auto" w:fill="auto"/>
            <w:vAlign w:val="bottom"/>
          </w:tcPr>
          <w:p w14:paraId="2A2D05B4"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single" w:sz="4" w:space="0" w:color="000000"/>
              <w:right w:val="nil"/>
            </w:tcBorders>
            <w:shd w:val="clear" w:color="auto" w:fill="auto"/>
            <w:vAlign w:val="bottom"/>
          </w:tcPr>
          <w:p w14:paraId="1C4085A9"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single" w:sz="4" w:space="0" w:color="000000"/>
              <w:right w:val="nil"/>
            </w:tcBorders>
            <w:shd w:val="clear" w:color="auto" w:fill="auto"/>
            <w:vAlign w:val="bottom"/>
          </w:tcPr>
          <w:p w14:paraId="725471DE"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single" w:sz="4" w:space="0" w:color="000000"/>
              <w:right w:val="nil"/>
            </w:tcBorders>
            <w:shd w:val="clear" w:color="auto" w:fill="auto"/>
            <w:vAlign w:val="bottom"/>
          </w:tcPr>
          <w:p w14:paraId="2CA14ACF"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42BFB619"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29ACCED8" w14:textId="77777777">
        <w:trPr>
          <w:trHeight w:val="320"/>
        </w:trPr>
        <w:tc>
          <w:tcPr>
            <w:tcW w:w="2320" w:type="dxa"/>
            <w:tcBorders>
              <w:top w:val="single" w:sz="4" w:space="0" w:color="000000"/>
              <w:left w:val="nil"/>
              <w:bottom w:val="nil"/>
              <w:right w:val="nil"/>
            </w:tcBorders>
            <w:shd w:val="clear" w:color="auto" w:fill="auto"/>
            <w:vAlign w:val="bottom"/>
          </w:tcPr>
          <w:p w14:paraId="24351BB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lastRenderedPageBreak/>
              <w:t>Intercept</w:t>
            </w:r>
          </w:p>
        </w:tc>
        <w:tc>
          <w:tcPr>
            <w:tcW w:w="940" w:type="dxa"/>
            <w:tcBorders>
              <w:top w:val="single" w:sz="4" w:space="0" w:color="000000"/>
              <w:left w:val="nil"/>
              <w:bottom w:val="nil"/>
              <w:right w:val="nil"/>
            </w:tcBorders>
            <w:shd w:val="clear" w:color="auto" w:fill="auto"/>
            <w:vAlign w:val="bottom"/>
          </w:tcPr>
          <w:p w14:paraId="2474133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1.78</w:t>
            </w:r>
          </w:p>
        </w:tc>
        <w:tc>
          <w:tcPr>
            <w:tcW w:w="720" w:type="dxa"/>
            <w:tcBorders>
              <w:top w:val="single" w:sz="4" w:space="0" w:color="000000"/>
              <w:left w:val="nil"/>
              <w:bottom w:val="nil"/>
              <w:right w:val="nil"/>
            </w:tcBorders>
            <w:shd w:val="clear" w:color="auto" w:fill="auto"/>
            <w:vAlign w:val="bottom"/>
          </w:tcPr>
          <w:p w14:paraId="141119F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0.56</w:t>
            </w:r>
          </w:p>
        </w:tc>
        <w:tc>
          <w:tcPr>
            <w:tcW w:w="1120" w:type="dxa"/>
            <w:tcBorders>
              <w:top w:val="single" w:sz="4" w:space="0" w:color="000000"/>
              <w:left w:val="nil"/>
              <w:bottom w:val="nil"/>
              <w:right w:val="nil"/>
            </w:tcBorders>
            <w:shd w:val="clear" w:color="auto" w:fill="auto"/>
            <w:vAlign w:val="bottom"/>
          </w:tcPr>
          <w:p w14:paraId="6F1EDAE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0.002</w:t>
            </w:r>
          </w:p>
        </w:tc>
        <w:tc>
          <w:tcPr>
            <w:tcW w:w="1220" w:type="dxa"/>
            <w:tcBorders>
              <w:top w:val="single" w:sz="4" w:space="0" w:color="000000"/>
              <w:left w:val="nil"/>
              <w:bottom w:val="nil"/>
              <w:right w:val="nil"/>
            </w:tcBorders>
            <w:shd w:val="clear" w:color="auto" w:fill="auto"/>
            <w:vAlign w:val="bottom"/>
          </w:tcPr>
          <w:p w14:paraId="0DC16BAD"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single" w:sz="4" w:space="0" w:color="000000"/>
              <w:left w:val="nil"/>
              <w:bottom w:val="nil"/>
              <w:right w:val="nil"/>
            </w:tcBorders>
            <w:shd w:val="clear" w:color="auto" w:fill="auto"/>
            <w:vAlign w:val="bottom"/>
          </w:tcPr>
          <w:p w14:paraId="504C7A8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21056D1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1.38</w:t>
            </w:r>
          </w:p>
        </w:tc>
        <w:tc>
          <w:tcPr>
            <w:tcW w:w="720" w:type="dxa"/>
            <w:tcBorders>
              <w:top w:val="single" w:sz="4" w:space="0" w:color="000000"/>
              <w:left w:val="nil"/>
              <w:bottom w:val="nil"/>
              <w:right w:val="nil"/>
            </w:tcBorders>
            <w:shd w:val="clear" w:color="auto" w:fill="auto"/>
            <w:vAlign w:val="bottom"/>
          </w:tcPr>
          <w:p w14:paraId="6837530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0.89</w:t>
            </w:r>
          </w:p>
        </w:tc>
        <w:tc>
          <w:tcPr>
            <w:tcW w:w="1120" w:type="dxa"/>
            <w:tcBorders>
              <w:top w:val="single" w:sz="4" w:space="0" w:color="000000"/>
              <w:left w:val="nil"/>
              <w:bottom w:val="nil"/>
              <w:right w:val="nil"/>
            </w:tcBorders>
            <w:shd w:val="clear" w:color="auto" w:fill="auto"/>
            <w:vAlign w:val="bottom"/>
          </w:tcPr>
          <w:p w14:paraId="2D79833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0.123</w:t>
            </w:r>
          </w:p>
        </w:tc>
      </w:tr>
      <w:tr w:rsidR="006E4B3A" w:rsidRPr="00A03CB5" w14:paraId="74B3D093" w14:textId="77777777">
        <w:trPr>
          <w:trHeight w:val="320"/>
        </w:trPr>
        <w:tc>
          <w:tcPr>
            <w:tcW w:w="2320" w:type="dxa"/>
            <w:tcBorders>
              <w:top w:val="nil"/>
              <w:left w:val="nil"/>
              <w:bottom w:val="nil"/>
              <w:right w:val="nil"/>
            </w:tcBorders>
            <w:shd w:val="clear" w:color="auto" w:fill="auto"/>
            <w:vAlign w:val="bottom"/>
          </w:tcPr>
          <w:p w14:paraId="65880ED5"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2FADDD7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0.32</w:t>
            </w:r>
          </w:p>
        </w:tc>
        <w:tc>
          <w:tcPr>
            <w:tcW w:w="720" w:type="dxa"/>
            <w:tcBorders>
              <w:top w:val="nil"/>
              <w:left w:val="nil"/>
              <w:bottom w:val="nil"/>
              <w:right w:val="nil"/>
            </w:tcBorders>
            <w:shd w:val="clear" w:color="auto" w:fill="auto"/>
            <w:vAlign w:val="bottom"/>
          </w:tcPr>
          <w:p w14:paraId="3C16012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0.15</w:t>
            </w:r>
          </w:p>
        </w:tc>
        <w:tc>
          <w:tcPr>
            <w:tcW w:w="1120" w:type="dxa"/>
            <w:tcBorders>
              <w:top w:val="nil"/>
              <w:left w:val="nil"/>
              <w:bottom w:val="nil"/>
              <w:right w:val="nil"/>
            </w:tcBorders>
            <w:shd w:val="clear" w:color="auto" w:fill="auto"/>
            <w:vAlign w:val="bottom"/>
          </w:tcPr>
          <w:p w14:paraId="33366C9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0.029</w:t>
            </w:r>
          </w:p>
        </w:tc>
        <w:tc>
          <w:tcPr>
            <w:tcW w:w="1220" w:type="dxa"/>
            <w:tcBorders>
              <w:top w:val="nil"/>
              <w:left w:val="nil"/>
              <w:bottom w:val="nil"/>
              <w:right w:val="nil"/>
            </w:tcBorders>
            <w:shd w:val="clear" w:color="auto" w:fill="auto"/>
            <w:vAlign w:val="bottom"/>
          </w:tcPr>
          <w:p w14:paraId="49EFA9C7"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0A510C7D"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6258DF0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0.45</w:t>
            </w:r>
          </w:p>
        </w:tc>
        <w:tc>
          <w:tcPr>
            <w:tcW w:w="720" w:type="dxa"/>
            <w:tcBorders>
              <w:top w:val="nil"/>
              <w:left w:val="nil"/>
              <w:bottom w:val="nil"/>
              <w:right w:val="nil"/>
            </w:tcBorders>
            <w:shd w:val="clear" w:color="auto" w:fill="auto"/>
            <w:vAlign w:val="bottom"/>
          </w:tcPr>
          <w:p w14:paraId="0671755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0.28</w:t>
            </w:r>
          </w:p>
        </w:tc>
        <w:tc>
          <w:tcPr>
            <w:tcW w:w="1120" w:type="dxa"/>
            <w:tcBorders>
              <w:top w:val="nil"/>
              <w:left w:val="nil"/>
              <w:bottom w:val="nil"/>
              <w:right w:val="nil"/>
            </w:tcBorders>
            <w:shd w:val="clear" w:color="auto" w:fill="auto"/>
            <w:vAlign w:val="bottom"/>
          </w:tcPr>
          <w:p w14:paraId="49AFB4B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0.113</w:t>
            </w:r>
          </w:p>
        </w:tc>
      </w:tr>
      <w:tr w:rsidR="006E4B3A" w:rsidRPr="00A03CB5" w14:paraId="7A38A09E" w14:textId="77777777">
        <w:trPr>
          <w:trHeight w:val="320"/>
        </w:trPr>
        <w:tc>
          <w:tcPr>
            <w:tcW w:w="2320" w:type="dxa"/>
            <w:tcBorders>
              <w:top w:val="nil"/>
              <w:left w:val="nil"/>
              <w:bottom w:val="nil"/>
              <w:right w:val="nil"/>
            </w:tcBorders>
            <w:shd w:val="clear" w:color="auto" w:fill="auto"/>
            <w:vAlign w:val="bottom"/>
          </w:tcPr>
          <w:p w14:paraId="3155954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3B4CCAF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0.00</w:t>
            </w:r>
          </w:p>
        </w:tc>
        <w:tc>
          <w:tcPr>
            <w:tcW w:w="720" w:type="dxa"/>
            <w:tcBorders>
              <w:top w:val="nil"/>
              <w:left w:val="nil"/>
              <w:bottom w:val="nil"/>
              <w:right w:val="nil"/>
            </w:tcBorders>
            <w:shd w:val="clear" w:color="auto" w:fill="auto"/>
            <w:vAlign w:val="bottom"/>
          </w:tcPr>
          <w:p w14:paraId="0C1431F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1120" w:type="dxa"/>
            <w:tcBorders>
              <w:top w:val="nil"/>
              <w:left w:val="nil"/>
              <w:bottom w:val="nil"/>
              <w:right w:val="nil"/>
            </w:tcBorders>
            <w:shd w:val="clear" w:color="auto" w:fill="auto"/>
            <w:vAlign w:val="bottom"/>
          </w:tcPr>
          <w:p w14:paraId="7DCD935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0.83</w:t>
            </w:r>
          </w:p>
        </w:tc>
        <w:tc>
          <w:tcPr>
            <w:tcW w:w="1220" w:type="dxa"/>
            <w:tcBorders>
              <w:top w:val="nil"/>
              <w:left w:val="nil"/>
              <w:bottom w:val="nil"/>
              <w:right w:val="nil"/>
            </w:tcBorders>
            <w:shd w:val="clear" w:color="auto" w:fill="auto"/>
            <w:vAlign w:val="bottom"/>
          </w:tcPr>
          <w:p w14:paraId="529A5CCD"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06E7096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6860819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720" w:type="dxa"/>
            <w:tcBorders>
              <w:top w:val="nil"/>
              <w:left w:val="nil"/>
              <w:bottom w:val="nil"/>
              <w:right w:val="nil"/>
            </w:tcBorders>
            <w:shd w:val="clear" w:color="auto" w:fill="auto"/>
            <w:vAlign w:val="bottom"/>
          </w:tcPr>
          <w:p w14:paraId="5958818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1120" w:type="dxa"/>
            <w:tcBorders>
              <w:top w:val="nil"/>
              <w:left w:val="nil"/>
              <w:bottom w:val="nil"/>
              <w:right w:val="nil"/>
            </w:tcBorders>
            <w:shd w:val="clear" w:color="auto" w:fill="auto"/>
            <w:vAlign w:val="bottom"/>
          </w:tcPr>
          <w:p w14:paraId="336D112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0.754</w:t>
            </w:r>
          </w:p>
        </w:tc>
      </w:tr>
      <w:tr w:rsidR="006E4B3A" w:rsidRPr="00A03CB5" w14:paraId="0BB71088" w14:textId="77777777">
        <w:trPr>
          <w:trHeight w:val="320"/>
        </w:trPr>
        <w:tc>
          <w:tcPr>
            <w:tcW w:w="2320" w:type="dxa"/>
            <w:tcBorders>
              <w:top w:val="nil"/>
              <w:left w:val="nil"/>
              <w:bottom w:val="nil"/>
              <w:right w:val="nil"/>
            </w:tcBorders>
            <w:shd w:val="clear" w:color="auto" w:fill="auto"/>
            <w:vAlign w:val="bottom"/>
          </w:tcPr>
          <w:p w14:paraId="6976D33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0E91F4E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-0.09</w:t>
            </w:r>
          </w:p>
        </w:tc>
        <w:tc>
          <w:tcPr>
            <w:tcW w:w="720" w:type="dxa"/>
            <w:tcBorders>
              <w:top w:val="nil"/>
              <w:left w:val="nil"/>
              <w:bottom w:val="nil"/>
              <w:right w:val="nil"/>
            </w:tcBorders>
            <w:shd w:val="clear" w:color="auto" w:fill="auto"/>
            <w:vAlign w:val="bottom"/>
          </w:tcPr>
          <w:p w14:paraId="106DB29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1120" w:type="dxa"/>
            <w:tcBorders>
              <w:top w:val="nil"/>
              <w:left w:val="nil"/>
              <w:bottom w:val="nil"/>
              <w:right w:val="nil"/>
            </w:tcBorders>
            <w:shd w:val="clear" w:color="auto" w:fill="auto"/>
            <w:vAlign w:val="bottom"/>
          </w:tcPr>
          <w:p w14:paraId="5B690ED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0.114</w:t>
            </w:r>
          </w:p>
        </w:tc>
        <w:tc>
          <w:tcPr>
            <w:tcW w:w="1220" w:type="dxa"/>
            <w:tcBorders>
              <w:top w:val="nil"/>
              <w:left w:val="nil"/>
              <w:bottom w:val="nil"/>
              <w:right w:val="nil"/>
            </w:tcBorders>
            <w:shd w:val="clear" w:color="auto" w:fill="auto"/>
            <w:vAlign w:val="bottom"/>
          </w:tcPr>
          <w:p w14:paraId="686A3819"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4DF6FE8F"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179087D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-0.08</w:t>
            </w:r>
          </w:p>
        </w:tc>
        <w:tc>
          <w:tcPr>
            <w:tcW w:w="720" w:type="dxa"/>
            <w:tcBorders>
              <w:top w:val="nil"/>
              <w:left w:val="nil"/>
              <w:bottom w:val="nil"/>
              <w:right w:val="nil"/>
            </w:tcBorders>
            <w:shd w:val="clear" w:color="auto" w:fill="auto"/>
            <w:vAlign w:val="bottom"/>
          </w:tcPr>
          <w:p w14:paraId="1EB93A4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1120" w:type="dxa"/>
            <w:tcBorders>
              <w:top w:val="nil"/>
              <w:left w:val="nil"/>
              <w:bottom w:val="nil"/>
              <w:right w:val="nil"/>
            </w:tcBorders>
            <w:shd w:val="clear" w:color="auto" w:fill="auto"/>
            <w:vAlign w:val="bottom"/>
          </w:tcPr>
          <w:p w14:paraId="42FD551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0.221</w:t>
            </w:r>
          </w:p>
        </w:tc>
      </w:tr>
      <w:tr w:rsidR="006E4B3A" w:rsidRPr="00A03CB5" w14:paraId="44CB772F" w14:textId="77777777">
        <w:trPr>
          <w:trHeight w:val="320"/>
        </w:trPr>
        <w:tc>
          <w:tcPr>
            <w:tcW w:w="2320" w:type="dxa"/>
            <w:tcBorders>
              <w:top w:val="nil"/>
              <w:left w:val="nil"/>
              <w:bottom w:val="nil"/>
              <w:right w:val="nil"/>
            </w:tcBorders>
            <w:shd w:val="clear" w:color="auto" w:fill="auto"/>
            <w:vAlign w:val="bottom"/>
          </w:tcPr>
          <w:p w14:paraId="0901E07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280CEB6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0.09</w:t>
            </w:r>
          </w:p>
        </w:tc>
        <w:tc>
          <w:tcPr>
            <w:tcW w:w="720" w:type="dxa"/>
            <w:tcBorders>
              <w:top w:val="nil"/>
              <w:left w:val="nil"/>
              <w:bottom w:val="nil"/>
              <w:right w:val="nil"/>
            </w:tcBorders>
            <w:shd w:val="clear" w:color="auto" w:fill="auto"/>
            <w:vAlign w:val="bottom"/>
          </w:tcPr>
          <w:p w14:paraId="12AFB4C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1120" w:type="dxa"/>
            <w:tcBorders>
              <w:top w:val="nil"/>
              <w:left w:val="nil"/>
              <w:bottom w:val="nil"/>
              <w:right w:val="nil"/>
            </w:tcBorders>
            <w:shd w:val="clear" w:color="auto" w:fill="auto"/>
            <w:vAlign w:val="bottom"/>
          </w:tcPr>
          <w:p w14:paraId="79B6C80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0.003</w:t>
            </w:r>
          </w:p>
        </w:tc>
        <w:tc>
          <w:tcPr>
            <w:tcW w:w="1220" w:type="dxa"/>
            <w:tcBorders>
              <w:top w:val="nil"/>
              <w:left w:val="nil"/>
              <w:bottom w:val="nil"/>
              <w:right w:val="nil"/>
            </w:tcBorders>
            <w:shd w:val="clear" w:color="auto" w:fill="auto"/>
            <w:vAlign w:val="bottom"/>
          </w:tcPr>
          <w:p w14:paraId="7425766F"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5C3D66C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3A9BB94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0.10</w:t>
            </w:r>
          </w:p>
        </w:tc>
        <w:tc>
          <w:tcPr>
            <w:tcW w:w="720" w:type="dxa"/>
            <w:tcBorders>
              <w:top w:val="nil"/>
              <w:left w:val="nil"/>
              <w:bottom w:val="nil"/>
              <w:right w:val="nil"/>
            </w:tcBorders>
            <w:shd w:val="clear" w:color="auto" w:fill="auto"/>
            <w:vAlign w:val="bottom"/>
          </w:tcPr>
          <w:p w14:paraId="031FB75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0.04</w:t>
            </w:r>
          </w:p>
        </w:tc>
        <w:tc>
          <w:tcPr>
            <w:tcW w:w="1120" w:type="dxa"/>
            <w:tcBorders>
              <w:top w:val="nil"/>
              <w:left w:val="nil"/>
              <w:bottom w:val="nil"/>
              <w:right w:val="nil"/>
            </w:tcBorders>
            <w:shd w:val="clear" w:color="auto" w:fill="auto"/>
            <w:vAlign w:val="bottom"/>
          </w:tcPr>
          <w:p w14:paraId="72C9DA6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0.016</w:t>
            </w:r>
          </w:p>
        </w:tc>
      </w:tr>
      <w:tr w:rsidR="006E4B3A" w:rsidRPr="00A03CB5" w14:paraId="66381C23" w14:textId="77777777">
        <w:trPr>
          <w:trHeight w:val="320"/>
        </w:trPr>
        <w:tc>
          <w:tcPr>
            <w:tcW w:w="2320" w:type="dxa"/>
            <w:tcBorders>
              <w:top w:val="nil"/>
              <w:left w:val="nil"/>
              <w:bottom w:val="nil"/>
              <w:right w:val="nil"/>
            </w:tcBorders>
            <w:shd w:val="clear" w:color="auto" w:fill="auto"/>
            <w:vAlign w:val="bottom"/>
          </w:tcPr>
          <w:p w14:paraId="4CA81C7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(within)</w:t>
            </w:r>
          </w:p>
        </w:tc>
        <w:tc>
          <w:tcPr>
            <w:tcW w:w="940" w:type="dxa"/>
            <w:tcBorders>
              <w:top w:val="nil"/>
              <w:left w:val="nil"/>
              <w:bottom w:val="nil"/>
              <w:right w:val="nil"/>
            </w:tcBorders>
            <w:shd w:val="clear" w:color="auto" w:fill="auto"/>
            <w:vAlign w:val="bottom"/>
          </w:tcPr>
          <w:p w14:paraId="6858EBA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0.02</w:t>
            </w:r>
          </w:p>
        </w:tc>
        <w:tc>
          <w:tcPr>
            <w:tcW w:w="720" w:type="dxa"/>
            <w:tcBorders>
              <w:top w:val="nil"/>
              <w:left w:val="nil"/>
              <w:bottom w:val="nil"/>
              <w:right w:val="nil"/>
            </w:tcBorders>
            <w:shd w:val="clear" w:color="auto" w:fill="auto"/>
            <w:vAlign w:val="bottom"/>
          </w:tcPr>
          <w:p w14:paraId="365456A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0.04</w:t>
            </w:r>
          </w:p>
        </w:tc>
        <w:tc>
          <w:tcPr>
            <w:tcW w:w="1120" w:type="dxa"/>
            <w:tcBorders>
              <w:top w:val="nil"/>
              <w:left w:val="nil"/>
              <w:bottom w:val="nil"/>
              <w:right w:val="nil"/>
            </w:tcBorders>
            <w:shd w:val="clear" w:color="auto" w:fill="auto"/>
            <w:vAlign w:val="bottom"/>
          </w:tcPr>
          <w:p w14:paraId="5C8C41D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0.542</w:t>
            </w:r>
          </w:p>
        </w:tc>
        <w:tc>
          <w:tcPr>
            <w:tcW w:w="1220" w:type="dxa"/>
            <w:tcBorders>
              <w:top w:val="nil"/>
              <w:left w:val="nil"/>
              <w:bottom w:val="nil"/>
              <w:right w:val="nil"/>
            </w:tcBorders>
            <w:shd w:val="clear" w:color="auto" w:fill="auto"/>
            <w:vAlign w:val="bottom"/>
          </w:tcPr>
          <w:p w14:paraId="0BC6CFC4"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651D52F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Prior FA (within)</w:t>
            </w:r>
          </w:p>
        </w:tc>
        <w:tc>
          <w:tcPr>
            <w:tcW w:w="940" w:type="dxa"/>
            <w:tcBorders>
              <w:top w:val="nil"/>
              <w:left w:val="nil"/>
              <w:bottom w:val="nil"/>
              <w:right w:val="nil"/>
            </w:tcBorders>
            <w:shd w:val="clear" w:color="auto" w:fill="auto"/>
            <w:vAlign w:val="bottom"/>
          </w:tcPr>
          <w:p w14:paraId="3103BEF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720" w:type="dxa"/>
            <w:tcBorders>
              <w:top w:val="nil"/>
              <w:left w:val="nil"/>
              <w:bottom w:val="nil"/>
              <w:right w:val="nil"/>
            </w:tcBorders>
            <w:shd w:val="clear" w:color="auto" w:fill="auto"/>
            <w:vAlign w:val="bottom"/>
          </w:tcPr>
          <w:p w14:paraId="77C2EF2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0.04</w:t>
            </w:r>
          </w:p>
        </w:tc>
        <w:tc>
          <w:tcPr>
            <w:tcW w:w="1120" w:type="dxa"/>
            <w:tcBorders>
              <w:top w:val="nil"/>
              <w:left w:val="nil"/>
              <w:bottom w:val="nil"/>
              <w:right w:val="nil"/>
            </w:tcBorders>
            <w:shd w:val="clear" w:color="auto" w:fill="auto"/>
            <w:vAlign w:val="bottom"/>
          </w:tcPr>
          <w:p w14:paraId="0C5CFBE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0.716</w:t>
            </w:r>
          </w:p>
        </w:tc>
      </w:tr>
      <w:tr w:rsidR="006E4B3A" w:rsidRPr="00A03CB5" w14:paraId="113F4DAC" w14:textId="77777777">
        <w:trPr>
          <w:trHeight w:val="320"/>
        </w:trPr>
        <w:tc>
          <w:tcPr>
            <w:tcW w:w="2320" w:type="dxa"/>
            <w:tcBorders>
              <w:top w:val="nil"/>
              <w:left w:val="nil"/>
              <w:bottom w:val="nil"/>
              <w:right w:val="nil"/>
            </w:tcBorders>
            <w:shd w:val="clear" w:color="auto" w:fill="auto"/>
            <w:vAlign w:val="bottom"/>
          </w:tcPr>
          <w:p w14:paraId="119C6168" w14:textId="77777777" w:rsidR="006E4B3A" w:rsidRPr="00A03CB5" w:rsidRDefault="006E4B3A">
            <w:pPr>
              <w:spacing w:line="240" w:lineRule="auto"/>
              <w:jc w:val="right"/>
              <w:rPr>
                <w:rFonts w:ascii="Times New Roman" w:eastAsia="Times New Roman" w:hAnsi="Times New Roman" w:cs="Times New Roman"/>
                <w:sz w:val="24"/>
                <w:szCs w:val="24"/>
              </w:rPr>
            </w:pPr>
          </w:p>
          <w:p w14:paraId="37517B78"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4BFA7645"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62982070"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01214DB2"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nil"/>
              <w:right w:val="nil"/>
            </w:tcBorders>
            <w:shd w:val="clear" w:color="auto" w:fill="auto"/>
            <w:vAlign w:val="bottom"/>
          </w:tcPr>
          <w:p w14:paraId="75AE5371"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3BC41595"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6C7CB9F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vAlign w:val="bottom"/>
          </w:tcPr>
          <w:p w14:paraId="07F7F5FB"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vAlign w:val="bottom"/>
          </w:tcPr>
          <w:p w14:paraId="4EA45435"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3D1EE890" w14:textId="77777777">
        <w:trPr>
          <w:trHeight w:val="320"/>
        </w:trPr>
        <w:tc>
          <w:tcPr>
            <w:tcW w:w="2320" w:type="dxa"/>
            <w:tcBorders>
              <w:top w:val="nil"/>
              <w:left w:val="nil"/>
              <w:bottom w:val="single" w:sz="4" w:space="0" w:color="000000"/>
              <w:right w:val="nil"/>
            </w:tcBorders>
            <w:shd w:val="clear" w:color="auto" w:fill="auto"/>
            <w:vAlign w:val="bottom"/>
          </w:tcPr>
          <w:p w14:paraId="44937FD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Food delivery</w:t>
            </w:r>
          </w:p>
        </w:tc>
        <w:tc>
          <w:tcPr>
            <w:tcW w:w="940" w:type="dxa"/>
            <w:tcBorders>
              <w:top w:val="nil"/>
              <w:left w:val="nil"/>
              <w:bottom w:val="single" w:sz="4" w:space="0" w:color="000000"/>
              <w:right w:val="nil"/>
            </w:tcBorders>
            <w:shd w:val="clear" w:color="auto" w:fill="auto"/>
            <w:vAlign w:val="bottom"/>
          </w:tcPr>
          <w:p w14:paraId="699C82CB"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single" w:sz="4" w:space="0" w:color="000000"/>
              <w:right w:val="nil"/>
            </w:tcBorders>
            <w:shd w:val="clear" w:color="auto" w:fill="auto"/>
            <w:vAlign w:val="bottom"/>
          </w:tcPr>
          <w:p w14:paraId="34529338"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5EE68D47"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220" w:type="dxa"/>
            <w:tcBorders>
              <w:top w:val="nil"/>
              <w:left w:val="nil"/>
              <w:bottom w:val="single" w:sz="4" w:space="0" w:color="000000"/>
              <w:right w:val="nil"/>
            </w:tcBorders>
            <w:shd w:val="clear" w:color="auto" w:fill="auto"/>
            <w:vAlign w:val="bottom"/>
          </w:tcPr>
          <w:p w14:paraId="4DC6D700"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single" w:sz="4" w:space="0" w:color="000000"/>
              <w:right w:val="nil"/>
            </w:tcBorders>
            <w:shd w:val="clear" w:color="auto" w:fill="auto"/>
            <w:vAlign w:val="bottom"/>
          </w:tcPr>
          <w:p w14:paraId="6032FEA7" w14:textId="77777777" w:rsidR="006E4B3A" w:rsidRPr="00A03CB5" w:rsidRDefault="006E4B3A">
            <w:pPr>
              <w:spacing w:line="240" w:lineRule="auto"/>
              <w:rPr>
                <w:rFonts w:ascii="Times New Roman" w:eastAsia="Times New Roman" w:hAnsi="Times New Roman" w:cs="Times New Roman"/>
                <w:sz w:val="24"/>
                <w:szCs w:val="24"/>
              </w:rPr>
            </w:pPr>
          </w:p>
        </w:tc>
        <w:tc>
          <w:tcPr>
            <w:tcW w:w="940" w:type="dxa"/>
            <w:tcBorders>
              <w:top w:val="nil"/>
              <w:left w:val="nil"/>
              <w:bottom w:val="single" w:sz="4" w:space="0" w:color="000000"/>
              <w:right w:val="nil"/>
            </w:tcBorders>
            <w:shd w:val="clear" w:color="auto" w:fill="auto"/>
            <w:vAlign w:val="bottom"/>
          </w:tcPr>
          <w:p w14:paraId="1F603CD7"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720" w:type="dxa"/>
            <w:tcBorders>
              <w:top w:val="nil"/>
              <w:left w:val="nil"/>
              <w:bottom w:val="single" w:sz="4" w:space="0" w:color="000000"/>
              <w:right w:val="nil"/>
            </w:tcBorders>
            <w:shd w:val="clear" w:color="auto" w:fill="auto"/>
            <w:vAlign w:val="bottom"/>
          </w:tcPr>
          <w:p w14:paraId="4A0AB45C" w14:textId="77777777" w:rsidR="006E4B3A" w:rsidRPr="00A03CB5" w:rsidRDefault="006E4B3A">
            <w:pPr>
              <w:spacing w:line="240" w:lineRule="auto"/>
              <w:jc w:val="center"/>
              <w:rPr>
                <w:rFonts w:ascii="Times New Roman" w:eastAsia="Times New Roman" w:hAnsi="Times New Roman" w:cs="Times New Roman"/>
                <w:sz w:val="24"/>
                <w:szCs w:val="24"/>
              </w:rPr>
            </w:pPr>
          </w:p>
        </w:tc>
        <w:tc>
          <w:tcPr>
            <w:tcW w:w="1120" w:type="dxa"/>
            <w:tcBorders>
              <w:top w:val="nil"/>
              <w:left w:val="nil"/>
              <w:bottom w:val="single" w:sz="4" w:space="0" w:color="000000"/>
              <w:right w:val="nil"/>
            </w:tcBorders>
            <w:shd w:val="clear" w:color="auto" w:fill="auto"/>
            <w:vAlign w:val="bottom"/>
          </w:tcPr>
          <w:p w14:paraId="17B6065D" w14:textId="77777777" w:rsidR="006E4B3A" w:rsidRPr="00A03CB5" w:rsidRDefault="006E4B3A">
            <w:pPr>
              <w:spacing w:line="240" w:lineRule="auto"/>
              <w:jc w:val="center"/>
              <w:rPr>
                <w:rFonts w:ascii="Times New Roman" w:eastAsia="Times New Roman" w:hAnsi="Times New Roman" w:cs="Times New Roman"/>
                <w:sz w:val="24"/>
                <w:szCs w:val="24"/>
              </w:rPr>
            </w:pPr>
          </w:p>
        </w:tc>
      </w:tr>
      <w:tr w:rsidR="006E4B3A" w:rsidRPr="00A03CB5" w14:paraId="6E2A7940" w14:textId="77777777">
        <w:trPr>
          <w:trHeight w:val="320"/>
        </w:trPr>
        <w:tc>
          <w:tcPr>
            <w:tcW w:w="2320" w:type="dxa"/>
            <w:tcBorders>
              <w:top w:val="single" w:sz="4" w:space="0" w:color="000000"/>
              <w:left w:val="nil"/>
              <w:bottom w:val="nil"/>
              <w:right w:val="nil"/>
            </w:tcBorders>
            <w:shd w:val="clear" w:color="auto" w:fill="auto"/>
            <w:vAlign w:val="bottom"/>
          </w:tcPr>
          <w:p w14:paraId="65CCC0CA"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7B0CF57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1.39</w:t>
            </w:r>
          </w:p>
        </w:tc>
        <w:tc>
          <w:tcPr>
            <w:tcW w:w="720" w:type="dxa"/>
            <w:tcBorders>
              <w:top w:val="single" w:sz="4" w:space="0" w:color="000000"/>
              <w:left w:val="nil"/>
              <w:bottom w:val="nil"/>
              <w:right w:val="nil"/>
            </w:tcBorders>
            <w:shd w:val="clear" w:color="auto" w:fill="auto"/>
            <w:vAlign w:val="bottom"/>
          </w:tcPr>
          <w:p w14:paraId="3B3218F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0.54</w:t>
            </w:r>
          </w:p>
        </w:tc>
        <w:tc>
          <w:tcPr>
            <w:tcW w:w="1120" w:type="dxa"/>
            <w:tcBorders>
              <w:top w:val="single" w:sz="4" w:space="0" w:color="000000"/>
              <w:left w:val="nil"/>
              <w:bottom w:val="nil"/>
              <w:right w:val="nil"/>
            </w:tcBorders>
            <w:shd w:val="clear" w:color="auto" w:fill="auto"/>
            <w:vAlign w:val="bottom"/>
          </w:tcPr>
          <w:p w14:paraId="0BF4BF3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0.011</w:t>
            </w:r>
          </w:p>
        </w:tc>
        <w:tc>
          <w:tcPr>
            <w:tcW w:w="1220" w:type="dxa"/>
            <w:tcBorders>
              <w:top w:val="single" w:sz="4" w:space="0" w:color="000000"/>
              <w:left w:val="nil"/>
              <w:bottom w:val="nil"/>
              <w:right w:val="nil"/>
            </w:tcBorders>
            <w:shd w:val="clear" w:color="auto" w:fill="auto"/>
            <w:vAlign w:val="bottom"/>
          </w:tcPr>
          <w:p w14:paraId="47590BCE"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single" w:sz="4" w:space="0" w:color="000000"/>
              <w:left w:val="nil"/>
              <w:bottom w:val="nil"/>
              <w:right w:val="nil"/>
            </w:tcBorders>
            <w:shd w:val="clear" w:color="auto" w:fill="auto"/>
            <w:vAlign w:val="bottom"/>
          </w:tcPr>
          <w:p w14:paraId="3E26C1B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Intercept</w:t>
            </w:r>
          </w:p>
        </w:tc>
        <w:tc>
          <w:tcPr>
            <w:tcW w:w="940" w:type="dxa"/>
            <w:tcBorders>
              <w:top w:val="single" w:sz="4" w:space="0" w:color="000000"/>
              <w:left w:val="nil"/>
              <w:bottom w:val="nil"/>
              <w:right w:val="nil"/>
            </w:tcBorders>
            <w:shd w:val="clear" w:color="auto" w:fill="auto"/>
            <w:vAlign w:val="bottom"/>
          </w:tcPr>
          <w:p w14:paraId="6FE2683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1.42</w:t>
            </w:r>
          </w:p>
        </w:tc>
        <w:tc>
          <w:tcPr>
            <w:tcW w:w="720" w:type="dxa"/>
            <w:tcBorders>
              <w:top w:val="single" w:sz="4" w:space="0" w:color="000000"/>
              <w:left w:val="nil"/>
              <w:bottom w:val="nil"/>
              <w:right w:val="nil"/>
            </w:tcBorders>
            <w:shd w:val="clear" w:color="auto" w:fill="auto"/>
            <w:vAlign w:val="bottom"/>
          </w:tcPr>
          <w:p w14:paraId="5BC3EA0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0.84</w:t>
            </w:r>
          </w:p>
        </w:tc>
        <w:tc>
          <w:tcPr>
            <w:tcW w:w="1120" w:type="dxa"/>
            <w:tcBorders>
              <w:top w:val="single" w:sz="4" w:space="0" w:color="000000"/>
              <w:left w:val="nil"/>
              <w:bottom w:val="nil"/>
              <w:right w:val="nil"/>
            </w:tcBorders>
            <w:shd w:val="clear" w:color="auto" w:fill="auto"/>
            <w:vAlign w:val="bottom"/>
          </w:tcPr>
          <w:p w14:paraId="05F6F53B"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0.092</w:t>
            </w:r>
          </w:p>
        </w:tc>
      </w:tr>
      <w:tr w:rsidR="006E4B3A" w:rsidRPr="00A03CB5" w14:paraId="4DCC98C0" w14:textId="77777777">
        <w:trPr>
          <w:trHeight w:val="320"/>
        </w:trPr>
        <w:tc>
          <w:tcPr>
            <w:tcW w:w="2320" w:type="dxa"/>
            <w:tcBorders>
              <w:top w:val="nil"/>
              <w:left w:val="nil"/>
              <w:bottom w:val="nil"/>
              <w:right w:val="nil"/>
            </w:tcBorders>
            <w:shd w:val="clear" w:color="auto" w:fill="auto"/>
            <w:vAlign w:val="bottom"/>
          </w:tcPr>
          <w:p w14:paraId="6E7A7B84"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6BE16D1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0.19</w:t>
            </w:r>
          </w:p>
        </w:tc>
        <w:tc>
          <w:tcPr>
            <w:tcW w:w="720" w:type="dxa"/>
            <w:tcBorders>
              <w:top w:val="nil"/>
              <w:left w:val="nil"/>
              <w:bottom w:val="nil"/>
              <w:right w:val="nil"/>
            </w:tcBorders>
            <w:shd w:val="clear" w:color="auto" w:fill="auto"/>
            <w:vAlign w:val="bottom"/>
          </w:tcPr>
          <w:p w14:paraId="4223DC9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0.14</w:t>
            </w:r>
          </w:p>
        </w:tc>
        <w:tc>
          <w:tcPr>
            <w:tcW w:w="1120" w:type="dxa"/>
            <w:tcBorders>
              <w:top w:val="nil"/>
              <w:left w:val="nil"/>
              <w:bottom w:val="nil"/>
              <w:right w:val="nil"/>
            </w:tcBorders>
            <w:shd w:val="clear" w:color="auto" w:fill="auto"/>
            <w:vAlign w:val="bottom"/>
          </w:tcPr>
          <w:p w14:paraId="74D315E0"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0.168</w:t>
            </w:r>
          </w:p>
        </w:tc>
        <w:tc>
          <w:tcPr>
            <w:tcW w:w="1220" w:type="dxa"/>
            <w:tcBorders>
              <w:top w:val="nil"/>
              <w:left w:val="nil"/>
              <w:bottom w:val="nil"/>
              <w:right w:val="nil"/>
            </w:tcBorders>
            <w:shd w:val="clear" w:color="auto" w:fill="auto"/>
            <w:vAlign w:val="bottom"/>
          </w:tcPr>
          <w:p w14:paraId="60FB1DF8"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1CB9AD0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Compliance</w:t>
            </w:r>
          </w:p>
        </w:tc>
        <w:tc>
          <w:tcPr>
            <w:tcW w:w="940" w:type="dxa"/>
            <w:tcBorders>
              <w:top w:val="nil"/>
              <w:left w:val="nil"/>
              <w:bottom w:val="nil"/>
              <w:right w:val="nil"/>
            </w:tcBorders>
            <w:shd w:val="clear" w:color="auto" w:fill="auto"/>
            <w:vAlign w:val="bottom"/>
          </w:tcPr>
          <w:p w14:paraId="1A2EC726"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0.13</w:t>
            </w:r>
          </w:p>
        </w:tc>
        <w:tc>
          <w:tcPr>
            <w:tcW w:w="720" w:type="dxa"/>
            <w:tcBorders>
              <w:top w:val="nil"/>
              <w:left w:val="nil"/>
              <w:bottom w:val="nil"/>
              <w:right w:val="nil"/>
            </w:tcBorders>
            <w:shd w:val="clear" w:color="auto" w:fill="auto"/>
            <w:vAlign w:val="bottom"/>
          </w:tcPr>
          <w:p w14:paraId="0F9AB0B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0.26</w:t>
            </w:r>
          </w:p>
        </w:tc>
        <w:tc>
          <w:tcPr>
            <w:tcW w:w="1120" w:type="dxa"/>
            <w:tcBorders>
              <w:top w:val="nil"/>
              <w:left w:val="nil"/>
              <w:bottom w:val="nil"/>
              <w:right w:val="nil"/>
            </w:tcBorders>
            <w:shd w:val="clear" w:color="auto" w:fill="auto"/>
            <w:vAlign w:val="bottom"/>
          </w:tcPr>
          <w:p w14:paraId="3C7ACB0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0.631</w:t>
            </w:r>
          </w:p>
        </w:tc>
      </w:tr>
      <w:tr w:rsidR="006E4B3A" w:rsidRPr="00A03CB5" w14:paraId="2ECF69FB" w14:textId="77777777">
        <w:trPr>
          <w:trHeight w:val="320"/>
        </w:trPr>
        <w:tc>
          <w:tcPr>
            <w:tcW w:w="2320" w:type="dxa"/>
            <w:tcBorders>
              <w:top w:val="nil"/>
              <w:left w:val="nil"/>
              <w:bottom w:val="nil"/>
              <w:right w:val="nil"/>
            </w:tcBorders>
            <w:shd w:val="clear" w:color="auto" w:fill="auto"/>
            <w:vAlign w:val="bottom"/>
          </w:tcPr>
          <w:p w14:paraId="3D0CCE39"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2F503DB2"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720" w:type="dxa"/>
            <w:tcBorders>
              <w:top w:val="nil"/>
              <w:left w:val="nil"/>
              <w:bottom w:val="nil"/>
              <w:right w:val="nil"/>
            </w:tcBorders>
            <w:shd w:val="clear" w:color="auto" w:fill="auto"/>
            <w:vAlign w:val="bottom"/>
          </w:tcPr>
          <w:p w14:paraId="345B991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1120" w:type="dxa"/>
            <w:tcBorders>
              <w:top w:val="nil"/>
              <w:left w:val="nil"/>
              <w:bottom w:val="nil"/>
              <w:right w:val="nil"/>
            </w:tcBorders>
            <w:shd w:val="clear" w:color="auto" w:fill="auto"/>
            <w:vAlign w:val="bottom"/>
          </w:tcPr>
          <w:p w14:paraId="390D403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0.57</w:t>
            </w:r>
          </w:p>
        </w:tc>
        <w:tc>
          <w:tcPr>
            <w:tcW w:w="1220" w:type="dxa"/>
            <w:tcBorders>
              <w:top w:val="nil"/>
              <w:left w:val="nil"/>
              <w:bottom w:val="nil"/>
              <w:right w:val="nil"/>
            </w:tcBorders>
            <w:shd w:val="clear" w:color="auto" w:fill="auto"/>
            <w:vAlign w:val="bottom"/>
          </w:tcPr>
          <w:p w14:paraId="4C64E8DA"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5645C47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BMI</w:t>
            </w:r>
          </w:p>
        </w:tc>
        <w:tc>
          <w:tcPr>
            <w:tcW w:w="940" w:type="dxa"/>
            <w:tcBorders>
              <w:top w:val="nil"/>
              <w:left w:val="nil"/>
              <w:bottom w:val="nil"/>
              <w:right w:val="nil"/>
            </w:tcBorders>
            <w:shd w:val="clear" w:color="auto" w:fill="auto"/>
            <w:vAlign w:val="bottom"/>
          </w:tcPr>
          <w:p w14:paraId="4D8FF2A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720" w:type="dxa"/>
            <w:tcBorders>
              <w:top w:val="nil"/>
              <w:left w:val="nil"/>
              <w:bottom w:val="nil"/>
              <w:right w:val="nil"/>
            </w:tcBorders>
            <w:shd w:val="clear" w:color="auto" w:fill="auto"/>
            <w:vAlign w:val="bottom"/>
          </w:tcPr>
          <w:p w14:paraId="265E066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1120" w:type="dxa"/>
            <w:tcBorders>
              <w:top w:val="nil"/>
              <w:left w:val="nil"/>
              <w:bottom w:val="nil"/>
              <w:right w:val="nil"/>
            </w:tcBorders>
            <w:shd w:val="clear" w:color="auto" w:fill="auto"/>
            <w:vAlign w:val="bottom"/>
          </w:tcPr>
          <w:p w14:paraId="00288DA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0.594</w:t>
            </w:r>
          </w:p>
        </w:tc>
      </w:tr>
      <w:tr w:rsidR="006E4B3A" w:rsidRPr="00A03CB5" w14:paraId="65F52F4A" w14:textId="77777777">
        <w:trPr>
          <w:trHeight w:val="320"/>
        </w:trPr>
        <w:tc>
          <w:tcPr>
            <w:tcW w:w="2320" w:type="dxa"/>
            <w:tcBorders>
              <w:top w:val="nil"/>
              <w:left w:val="nil"/>
              <w:bottom w:val="nil"/>
              <w:right w:val="nil"/>
            </w:tcBorders>
            <w:shd w:val="clear" w:color="auto" w:fill="auto"/>
            <w:vAlign w:val="bottom"/>
          </w:tcPr>
          <w:p w14:paraId="66219700"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31AADAE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720" w:type="dxa"/>
            <w:tcBorders>
              <w:top w:val="nil"/>
              <w:left w:val="nil"/>
              <w:bottom w:val="nil"/>
              <w:right w:val="nil"/>
            </w:tcBorders>
            <w:shd w:val="clear" w:color="auto" w:fill="auto"/>
            <w:vAlign w:val="bottom"/>
          </w:tcPr>
          <w:p w14:paraId="029CAC15"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1120" w:type="dxa"/>
            <w:tcBorders>
              <w:top w:val="nil"/>
              <w:left w:val="nil"/>
              <w:bottom w:val="nil"/>
              <w:right w:val="nil"/>
            </w:tcBorders>
            <w:shd w:val="clear" w:color="auto" w:fill="auto"/>
            <w:vAlign w:val="bottom"/>
          </w:tcPr>
          <w:p w14:paraId="4F826524"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0.591</w:t>
            </w:r>
          </w:p>
        </w:tc>
        <w:tc>
          <w:tcPr>
            <w:tcW w:w="1220" w:type="dxa"/>
            <w:tcBorders>
              <w:top w:val="nil"/>
              <w:left w:val="nil"/>
              <w:bottom w:val="nil"/>
              <w:right w:val="nil"/>
            </w:tcBorders>
            <w:shd w:val="clear" w:color="auto" w:fill="auto"/>
            <w:vAlign w:val="bottom"/>
          </w:tcPr>
          <w:p w14:paraId="586EE2CE"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30FFE9AE"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Income</w:t>
            </w:r>
          </w:p>
        </w:tc>
        <w:tc>
          <w:tcPr>
            <w:tcW w:w="940" w:type="dxa"/>
            <w:tcBorders>
              <w:top w:val="nil"/>
              <w:left w:val="nil"/>
              <w:bottom w:val="nil"/>
              <w:right w:val="nil"/>
            </w:tcBorders>
            <w:shd w:val="clear" w:color="auto" w:fill="auto"/>
            <w:vAlign w:val="bottom"/>
          </w:tcPr>
          <w:p w14:paraId="64B480D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720" w:type="dxa"/>
            <w:tcBorders>
              <w:top w:val="nil"/>
              <w:left w:val="nil"/>
              <w:bottom w:val="nil"/>
              <w:right w:val="nil"/>
            </w:tcBorders>
            <w:shd w:val="clear" w:color="auto" w:fill="auto"/>
            <w:vAlign w:val="bottom"/>
          </w:tcPr>
          <w:p w14:paraId="7BBEAC2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0.06</w:t>
            </w:r>
          </w:p>
        </w:tc>
        <w:tc>
          <w:tcPr>
            <w:tcW w:w="1120" w:type="dxa"/>
            <w:tcBorders>
              <w:top w:val="nil"/>
              <w:left w:val="nil"/>
              <w:bottom w:val="nil"/>
              <w:right w:val="nil"/>
            </w:tcBorders>
            <w:shd w:val="clear" w:color="auto" w:fill="auto"/>
            <w:vAlign w:val="bottom"/>
          </w:tcPr>
          <w:p w14:paraId="5CDEAF3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0.873</w:t>
            </w:r>
          </w:p>
        </w:tc>
      </w:tr>
      <w:tr w:rsidR="006E4B3A" w:rsidRPr="00A03CB5" w14:paraId="317163D4" w14:textId="77777777">
        <w:trPr>
          <w:trHeight w:val="320"/>
        </w:trPr>
        <w:tc>
          <w:tcPr>
            <w:tcW w:w="2320" w:type="dxa"/>
            <w:tcBorders>
              <w:top w:val="nil"/>
              <w:left w:val="nil"/>
              <w:bottom w:val="nil"/>
              <w:right w:val="nil"/>
            </w:tcBorders>
            <w:shd w:val="clear" w:color="auto" w:fill="auto"/>
            <w:vAlign w:val="bottom"/>
          </w:tcPr>
          <w:p w14:paraId="0A24275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28050473"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0.19</w:t>
            </w:r>
          </w:p>
        </w:tc>
        <w:tc>
          <w:tcPr>
            <w:tcW w:w="720" w:type="dxa"/>
            <w:tcBorders>
              <w:top w:val="nil"/>
              <w:left w:val="nil"/>
              <w:bottom w:val="nil"/>
              <w:right w:val="nil"/>
            </w:tcBorders>
            <w:shd w:val="clear" w:color="auto" w:fill="auto"/>
            <w:vAlign w:val="bottom"/>
          </w:tcPr>
          <w:p w14:paraId="63888831"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1120" w:type="dxa"/>
            <w:tcBorders>
              <w:top w:val="nil"/>
              <w:left w:val="nil"/>
              <w:bottom w:val="nil"/>
              <w:right w:val="nil"/>
            </w:tcBorders>
            <w:shd w:val="clear" w:color="auto" w:fill="auto"/>
            <w:vAlign w:val="bottom"/>
          </w:tcPr>
          <w:p w14:paraId="07DDA688"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c>
          <w:tcPr>
            <w:tcW w:w="1220" w:type="dxa"/>
            <w:tcBorders>
              <w:top w:val="nil"/>
              <w:left w:val="nil"/>
              <w:bottom w:val="nil"/>
              <w:right w:val="nil"/>
            </w:tcBorders>
            <w:shd w:val="clear" w:color="auto" w:fill="auto"/>
            <w:vAlign w:val="bottom"/>
          </w:tcPr>
          <w:p w14:paraId="5D4A6401" w14:textId="77777777" w:rsidR="006E4B3A" w:rsidRPr="00A03CB5" w:rsidRDefault="006E4B3A">
            <w:pPr>
              <w:spacing w:line="240" w:lineRule="auto"/>
              <w:rPr>
                <w:rFonts w:ascii="Times New Roman" w:eastAsia="Times New Roman" w:hAnsi="Times New Roman" w:cs="Times New Roman"/>
                <w:sz w:val="24"/>
                <w:szCs w:val="24"/>
              </w:rPr>
            </w:pPr>
          </w:p>
        </w:tc>
        <w:tc>
          <w:tcPr>
            <w:tcW w:w="1700" w:type="dxa"/>
            <w:tcBorders>
              <w:top w:val="nil"/>
              <w:left w:val="nil"/>
              <w:bottom w:val="nil"/>
              <w:right w:val="nil"/>
            </w:tcBorders>
            <w:shd w:val="clear" w:color="auto" w:fill="auto"/>
            <w:vAlign w:val="bottom"/>
          </w:tcPr>
          <w:p w14:paraId="09EB67D6"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(between)</w:t>
            </w:r>
          </w:p>
        </w:tc>
        <w:tc>
          <w:tcPr>
            <w:tcW w:w="940" w:type="dxa"/>
            <w:tcBorders>
              <w:top w:val="nil"/>
              <w:left w:val="nil"/>
              <w:bottom w:val="nil"/>
              <w:right w:val="nil"/>
            </w:tcBorders>
            <w:shd w:val="clear" w:color="auto" w:fill="auto"/>
            <w:vAlign w:val="bottom"/>
          </w:tcPr>
          <w:p w14:paraId="26FB3EA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0.23</w:t>
            </w:r>
          </w:p>
        </w:tc>
        <w:tc>
          <w:tcPr>
            <w:tcW w:w="720" w:type="dxa"/>
            <w:tcBorders>
              <w:top w:val="nil"/>
              <w:left w:val="nil"/>
              <w:bottom w:val="nil"/>
              <w:right w:val="nil"/>
            </w:tcBorders>
            <w:shd w:val="clear" w:color="auto" w:fill="auto"/>
            <w:vAlign w:val="bottom"/>
          </w:tcPr>
          <w:p w14:paraId="0FA06D0F"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0.04</w:t>
            </w:r>
          </w:p>
        </w:tc>
        <w:tc>
          <w:tcPr>
            <w:tcW w:w="1120" w:type="dxa"/>
            <w:tcBorders>
              <w:top w:val="nil"/>
              <w:left w:val="nil"/>
              <w:bottom w:val="nil"/>
              <w:right w:val="nil"/>
            </w:tcBorders>
            <w:shd w:val="clear" w:color="auto" w:fill="auto"/>
            <w:vAlign w:val="bottom"/>
          </w:tcPr>
          <w:p w14:paraId="188495BE"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&lt;0.001</w:t>
            </w:r>
          </w:p>
        </w:tc>
      </w:tr>
      <w:tr w:rsidR="006E4B3A" w:rsidRPr="00A03CB5" w14:paraId="5675101C" w14:textId="77777777">
        <w:trPr>
          <w:trHeight w:val="320"/>
        </w:trPr>
        <w:tc>
          <w:tcPr>
            <w:tcW w:w="2320" w:type="dxa"/>
            <w:tcBorders>
              <w:top w:val="nil"/>
              <w:left w:val="nil"/>
              <w:bottom w:val="single" w:sz="4" w:space="0" w:color="000000"/>
              <w:right w:val="nil"/>
            </w:tcBorders>
            <w:shd w:val="clear" w:color="auto" w:fill="auto"/>
            <w:vAlign w:val="bottom"/>
          </w:tcPr>
          <w:p w14:paraId="660F92A1"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FA (within)</w:t>
            </w:r>
          </w:p>
        </w:tc>
        <w:tc>
          <w:tcPr>
            <w:tcW w:w="940" w:type="dxa"/>
            <w:tcBorders>
              <w:top w:val="nil"/>
              <w:left w:val="nil"/>
              <w:bottom w:val="single" w:sz="4" w:space="0" w:color="000000"/>
              <w:right w:val="nil"/>
            </w:tcBorders>
            <w:shd w:val="clear" w:color="auto" w:fill="auto"/>
            <w:vAlign w:val="bottom"/>
          </w:tcPr>
          <w:p w14:paraId="7E7929CA"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720" w:type="dxa"/>
            <w:tcBorders>
              <w:top w:val="nil"/>
              <w:left w:val="nil"/>
              <w:bottom w:val="single" w:sz="4" w:space="0" w:color="000000"/>
              <w:right w:val="nil"/>
            </w:tcBorders>
            <w:shd w:val="clear" w:color="auto" w:fill="auto"/>
            <w:vAlign w:val="bottom"/>
          </w:tcPr>
          <w:p w14:paraId="09451B87"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0.03</w:t>
            </w:r>
          </w:p>
        </w:tc>
        <w:tc>
          <w:tcPr>
            <w:tcW w:w="1120" w:type="dxa"/>
            <w:tcBorders>
              <w:top w:val="nil"/>
              <w:left w:val="nil"/>
              <w:bottom w:val="single" w:sz="4" w:space="0" w:color="000000"/>
              <w:right w:val="nil"/>
            </w:tcBorders>
            <w:shd w:val="clear" w:color="auto" w:fill="auto"/>
            <w:vAlign w:val="bottom"/>
          </w:tcPr>
          <w:p w14:paraId="3B3DC829"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0.347</w:t>
            </w:r>
          </w:p>
        </w:tc>
        <w:tc>
          <w:tcPr>
            <w:tcW w:w="1220" w:type="dxa"/>
            <w:tcBorders>
              <w:top w:val="nil"/>
              <w:left w:val="nil"/>
              <w:bottom w:val="single" w:sz="4" w:space="0" w:color="000000"/>
              <w:right w:val="nil"/>
            </w:tcBorders>
            <w:shd w:val="clear" w:color="auto" w:fill="auto"/>
            <w:vAlign w:val="bottom"/>
          </w:tcPr>
          <w:p w14:paraId="4C3496A0" w14:textId="77777777" w:rsidR="006E4B3A" w:rsidRPr="00A03CB5" w:rsidRDefault="006E4B3A">
            <w:pPr>
              <w:spacing w:line="240" w:lineRule="auto"/>
              <w:jc w:val="right"/>
              <w:rPr>
                <w:rFonts w:ascii="Times New Roman" w:eastAsia="Times New Roman" w:hAnsi="Times New Roman" w:cs="Times New Roman"/>
                <w:sz w:val="24"/>
                <w:szCs w:val="24"/>
              </w:rPr>
            </w:pPr>
          </w:p>
        </w:tc>
        <w:tc>
          <w:tcPr>
            <w:tcW w:w="1700" w:type="dxa"/>
            <w:tcBorders>
              <w:top w:val="nil"/>
              <w:left w:val="nil"/>
              <w:bottom w:val="single" w:sz="4" w:space="0" w:color="000000"/>
              <w:right w:val="nil"/>
            </w:tcBorders>
            <w:shd w:val="clear" w:color="auto" w:fill="auto"/>
            <w:vAlign w:val="bottom"/>
          </w:tcPr>
          <w:p w14:paraId="188347C7"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sz w:val="24"/>
                <w:szCs w:val="24"/>
              </w:rPr>
              <w:t>Prior FA (within)</w:t>
            </w:r>
          </w:p>
        </w:tc>
        <w:tc>
          <w:tcPr>
            <w:tcW w:w="940" w:type="dxa"/>
            <w:tcBorders>
              <w:top w:val="nil"/>
              <w:left w:val="nil"/>
              <w:bottom w:val="single" w:sz="4" w:space="0" w:color="000000"/>
              <w:right w:val="nil"/>
            </w:tcBorders>
            <w:shd w:val="clear" w:color="auto" w:fill="auto"/>
            <w:vAlign w:val="bottom"/>
          </w:tcPr>
          <w:p w14:paraId="7F6553F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0.01</w:t>
            </w:r>
          </w:p>
        </w:tc>
        <w:tc>
          <w:tcPr>
            <w:tcW w:w="720" w:type="dxa"/>
            <w:tcBorders>
              <w:top w:val="nil"/>
              <w:left w:val="nil"/>
              <w:bottom w:val="single" w:sz="4" w:space="0" w:color="000000"/>
              <w:right w:val="nil"/>
            </w:tcBorders>
            <w:shd w:val="clear" w:color="auto" w:fill="auto"/>
            <w:vAlign w:val="bottom"/>
          </w:tcPr>
          <w:p w14:paraId="6D5401AD"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0.04</w:t>
            </w:r>
          </w:p>
        </w:tc>
        <w:tc>
          <w:tcPr>
            <w:tcW w:w="1120" w:type="dxa"/>
            <w:tcBorders>
              <w:top w:val="nil"/>
              <w:left w:val="nil"/>
              <w:bottom w:val="single" w:sz="4" w:space="0" w:color="000000"/>
              <w:right w:val="nil"/>
            </w:tcBorders>
            <w:shd w:val="clear" w:color="auto" w:fill="auto"/>
            <w:vAlign w:val="bottom"/>
          </w:tcPr>
          <w:p w14:paraId="4AD131EC" w14:textId="77777777" w:rsidR="006E4B3A" w:rsidRPr="00A03CB5" w:rsidRDefault="00000000">
            <w:pPr>
              <w:spacing w:line="240" w:lineRule="auto"/>
              <w:jc w:val="center"/>
              <w:rPr>
                <w:rFonts w:ascii="Times New Roman" w:eastAsia="Times New Roman" w:hAnsi="Times New Roman" w:cs="Times New Roman"/>
                <w:sz w:val="24"/>
                <w:szCs w:val="24"/>
              </w:rPr>
            </w:pPr>
            <w:r w:rsidRPr="00A03CB5">
              <w:rPr>
                <w:rFonts w:ascii="Times New Roman" w:eastAsia="Times New Roman" w:hAnsi="Times New Roman" w:cs="Times New Roman"/>
                <w:color w:val="010205"/>
                <w:sz w:val="24"/>
                <w:szCs w:val="24"/>
              </w:rPr>
              <w:t>0.804</w:t>
            </w:r>
          </w:p>
        </w:tc>
      </w:tr>
      <w:tr w:rsidR="006E4B3A" w:rsidRPr="00A03CB5" w14:paraId="3B1E5E74" w14:textId="77777777">
        <w:trPr>
          <w:trHeight w:val="320"/>
        </w:trPr>
        <w:tc>
          <w:tcPr>
            <w:tcW w:w="10800" w:type="dxa"/>
            <w:gridSpan w:val="9"/>
            <w:tcBorders>
              <w:top w:val="single" w:sz="4" w:space="0" w:color="000000"/>
              <w:left w:val="nil"/>
              <w:bottom w:val="nil"/>
              <w:right w:val="nil"/>
            </w:tcBorders>
            <w:shd w:val="clear" w:color="auto" w:fill="auto"/>
            <w:vAlign w:val="bottom"/>
          </w:tcPr>
          <w:p w14:paraId="63F7F928" w14:textId="77777777" w:rsidR="006E4B3A" w:rsidRPr="00A03CB5" w:rsidRDefault="00000000">
            <w:pPr>
              <w:spacing w:line="240" w:lineRule="auto"/>
              <w:rPr>
                <w:rFonts w:ascii="Times New Roman" w:eastAsia="Times New Roman" w:hAnsi="Times New Roman" w:cs="Times New Roman"/>
                <w:sz w:val="24"/>
                <w:szCs w:val="24"/>
              </w:rPr>
            </w:pPr>
            <w:r w:rsidRPr="00A03CB5">
              <w:rPr>
                <w:rFonts w:ascii="Times New Roman" w:eastAsia="Times New Roman" w:hAnsi="Times New Roman" w:cs="Times New Roman"/>
                <w:i/>
                <w:sz w:val="24"/>
                <w:szCs w:val="24"/>
              </w:rPr>
              <w:t xml:space="preserve">Note. </w:t>
            </w:r>
            <w:r w:rsidRPr="00A03CB5">
              <w:rPr>
                <w:rFonts w:ascii="Times New Roman" w:eastAsia="Times New Roman" w:hAnsi="Times New Roman" w:cs="Times New Roman"/>
                <w:sz w:val="24"/>
                <w:szCs w:val="24"/>
              </w:rPr>
              <w:t xml:space="preserve">BMI=body mass index at baseline; FA=Modified Yale Food Addiction Scale 2.0 total symptom count; STQ=Sweet Taste Questionnaire; SQHPF=Short Screening Questionnaire of Highly Processed Food Consumption. Between-person FA was grand-mean centered; within-person FA was person-mean centered. Compliance was calculated as the number of assessments completed over the </w:t>
            </w:r>
            <w:proofErr w:type="gramStart"/>
            <w:r w:rsidRPr="00A03CB5">
              <w:rPr>
                <w:rFonts w:ascii="Times New Roman" w:eastAsia="Times New Roman" w:hAnsi="Times New Roman" w:cs="Times New Roman"/>
                <w:sz w:val="24"/>
                <w:szCs w:val="24"/>
              </w:rPr>
              <w:t>six month</w:t>
            </w:r>
            <w:proofErr w:type="gramEnd"/>
            <w:r w:rsidRPr="00A03CB5">
              <w:rPr>
                <w:rFonts w:ascii="Times New Roman" w:eastAsia="Times New Roman" w:hAnsi="Times New Roman" w:cs="Times New Roman"/>
                <w:sz w:val="24"/>
                <w:szCs w:val="24"/>
              </w:rPr>
              <w:t xml:space="preserve"> protocol. Prospective models included prior FA measured at the last assessment.</w:t>
            </w:r>
          </w:p>
        </w:tc>
      </w:tr>
    </w:tbl>
    <w:p w14:paraId="171A69B3" w14:textId="77777777" w:rsidR="006E4B3A" w:rsidRPr="00A03CB5" w:rsidRDefault="006E4B3A">
      <w:pPr>
        <w:spacing w:line="240" w:lineRule="auto"/>
        <w:rPr>
          <w:rFonts w:ascii="Times New Roman" w:eastAsia="Aptos" w:hAnsi="Times New Roman" w:cs="Times New Roman"/>
          <w:sz w:val="24"/>
          <w:szCs w:val="24"/>
        </w:rPr>
      </w:pPr>
    </w:p>
    <w:p w14:paraId="6B55BE88" w14:textId="77777777" w:rsidR="006E4B3A" w:rsidRPr="00A03CB5" w:rsidRDefault="006E4B3A">
      <w:pPr>
        <w:spacing w:line="240" w:lineRule="auto"/>
        <w:jc w:val="both"/>
        <w:rPr>
          <w:rFonts w:ascii="Times New Roman" w:eastAsia="Times New Roman" w:hAnsi="Times New Roman" w:cs="Times New Roman"/>
          <w:sz w:val="24"/>
          <w:szCs w:val="24"/>
        </w:rPr>
      </w:pPr>
    </w:p>
    <w:sectPr w:rsidR="006E4B3A" w:rsidRPr="00A03CB5">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5C99B" w14:textId="77777777" w:rsidR="008C2802" w:rsidRDefault="008C2802">
      <w:pPr>
        <w:spacing w:line="240" w:lineRule="auto"/>
      </w:pPr>
      <w:r>
        <w:separator/>
      </w:r>
    </w:p>
  </w:endnote>
  <w:endnote w:type="continuationSeparator" w:id="0">
    <w:p w14:paraId="224127AD" w14:textId="77777777" w:rsidR="008C2802" w:rsidRDefault="008C28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D915AB3-C5EE-6242-B3F4-785B98F5D00D}"/>
    <w:embedBold r:id="rId2" w:fontKey="{BD795602-FC32-2346-9A3C-F358BAB5BDBF}"/>
    <w:embedItalic r:id="rId3" w:fontKey="{EBD5BF27-A157-8A43-8DB3-D93CFB3579A7}"/>
  </w:font>
  <w:font w:name="Arial">
    <w:panose1 w:val="020B0604020202020204"/>
    <w:charset w:val="00"/>
    <w:family w:val="swiss"/>
    <w:pitch w:val="variable"/>
    <w:sig w:usb0="E0002EFF" w:usb1="C000785B" w:usb2="00000009" w:usb3="00000000" w:csb0="000001FF" w:csb1="00000000"/>
    <w:embedRegular r:id="rId4" w:fontKey="{AF67DBF5-5101-3F4C-BC7F-B34F4EFC83B7}"/>
    <w:embedBold r:id="rId5" w:fontKey="{9C090668-1C7A-EB43-8558-2D6E98158A3D}"/>
    <w:embedItalic r:id="rId6" w:fontKey="{F46FB8C8-5665-CD4A-A281-D82C62EA00CB}"/>
  </w:font>
  <w:font w:name="Gungsuh">
    <w:panose1 w:val="02030600000101010101"/>
    <w:charset w:val="81"/>
    <w:family w:val="roman"/>
    <w:pitch w:val="variable"/>
    <w:sig w:usb0="B00002AF" w:usb1="69D77CFB" w:usb2="00000030" w:usb3="00000000" w:csb0="0008009F" w:csb1="00000000"/>
  </w:font>
  <w:font w:name="Cardo">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embedRegular r:id="rId8" w:fontKey="{FE6F6174-8775-9B4A-B3A1-8D7CD819753C}"/>
  </w:font>
  <w:font w:name="Aptos">
    <w:panose1 w:val="020B0004020202020204"/>
    <w:charset w:val="00"/>
    <w:family w:val="swiss"/>
    <w:pitch w:val="variable"/>
    <w:sig w:usb0="20000287" w:usb1="00000003" w:usb2="00000000" w:usb3="00000000" w:csb0="0000019F" w:csb1="00000000"/>
    <w:embedRegular r:id="rId9" w:fontKey="{D0BEAC7A-F7EF-0940-AEF8-CB45FF665C2E}"/>
  </w:font>
  <w:font w:name="Calibri">
    <w:panose1 w:val="020F0502020204030204"/>
    <w:charset w:val="00"/>
    <w:family w:val="swiss"/>
    <w:pitch w:val="variable"/>
    <w:sig w:usb0="E4002EFF" w:usb1="C000247B" w:usb2="00000009" w:usb3="00000000" w:csb0="000001FF" w:csb1="00000000"/>
    <w:embedRegular r:id="rId10" w:fontKey="{1B47E559-0430-E940-BAE7-C03CECB8FD7D}"/>
  </w:font>
  <w:font w:name="Cambria">
    <w:panose1 w:val="02040503050406030204"/>
    <w:charset w:val="00"/>
    <w:family w:val="roman"/>
    <w:pitch w:val="variable"/>
    <w:sig w:usb0="E00006FF" w:usb1="420024FF" w:usb2="02000000" w:usb3="00000000" w:csb0="0000019F" w:csb1="00000000"/>
    <w:embedRegular r:id="rId11" w:fontKey="{7BAAD2F7-7D6C-034F-992C-F74B8BAAD6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ACDBB" w14:textId="77777777" w:rsidR="006E4B3A" w:rsidRDefault="006E4B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E275D" w14:textId="77777777" w:rsidR="006E4B3A" w:rsidRDefault="006E4B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DA624" w14:textId="77777777" w:rsidR="008C2802" w:rsidRDefault="008C2802">
      <w:pPr>
        <w:spacing w:line="240" w:lineRule="auto"/>
      </w:pPr>
      <w:r>
        <w:separator/>
      </w:r>
    </w:p>
  </w:footnote>
  <w:footnote w:type="continuationSeparator" w:id="0">
    <w:p w14:paraId="5DAE4033" w14:textId="77777777" w:rsidR="008C2802" w:rsidRDefault="008C28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F452E" w14:textId="72D2BFB5" w:rsidR="006E4B3A" w:rsidRDefault="00000000">
    <w:pPr>
      <w:jc w:val="right"/>
    </w:pPr>
    <w:r>
      <w:t xml:space="preserve">FOOD ADDICTION AND DIETARY PATTERNS                                                                           </w:t>
    </w:r>
    <w:r>
      <w:fldChar w:fldCharType="begin"/>
    </w:r>
    <w:r>
      <w:instrText>PAGE</w:instrText>
    </w:r>
    <w:r>
      <w:fldChar w:fldCharType="separate"/>
    </w:r>
    <w:r w:rsidR="000261B7">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EF2E8" w14:textId="77777777" w:rsidR="006E4B3A" w:rsidRDefault="00000000">
    <w:pPr>
      <w:jc w:val="right"/>
    </w:pPr>
    <w:r>
      <w:fldChar w:fldCharType="begin"/>
    </w:r>
    <w:r>
      <w:instrText>PAGE</w:instrText>
    </w:r>
    <w:r>
      <w:fldChar w:fldCharType="separate"/>
    </w:r>
    <w:r w:rsidR="000261B7">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560CD"/>
    <w:multiLevelType w:val="multilevel"/>
    <w:tmpl w:val="E3D64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626B31"/>
    <w:multiLevelType w:val="multilevel"/>
    <w:tmpl w:val="F996A7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E00945"/>
    <w:multiLevelType w:val="multilevel"/>
    <w:tmpl w:val="9BAEF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0A1281"/>
    <w:multiLevelType w:val="multilevel"/>
    <w:tmpl w:val="0AA82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68211C"/>
    <w:multiLevelType w:val="multilevel"/>
    <w:tmpl w:val="E578E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6C5B23"/>
    <w:multiLevelType w:val="multilevel"/>
    <w:tmpl w:val="3000C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012844"/>
    <w:multiLevelType w:val="multilevel"/>
    <w:tmpl w:val="F0245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9442CC"/>
    <w:multiLevelType w:val="multilevel"/>
    <w:tmpl w:val="9B3E2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174774"/>
    <w:multiLevelType w:val="multilevel"/>
    <w:tmpl w:val="BEFEA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6008389">
    <w:abstractNumId w:val="7"/>
  </w:num>
  <w:num w:numId="2" w16cid:durableId="1210454715">
    <w:abstractNumId w:val="3"/>
  </w:num>
  <w:num w:numId="3" w16cid:durableId="1149437415">
    <w:abstractNumId w:val="4"/>
  </w:num>
  <w:num w:numId="4" w16cid:durableId="1509979732">
    <w:abstractNumId w:val="6"/>
  </w:num>
  <w:num w:numId="5" w16cid:durableId="2017224946">
    <w:abstractNumId w:val="5"/>
  </w:num>
  <w:num w:numId="6" w16cid:durableId="1694574468">
    <w:abstractNumId w:val="0"/>
  </w:num>
  <w:num w:numId="7" w16cid:durableId="1870333365">
    <w:abstractNumId w:val="8"/>
  </w:num>
  <w:num w:numId="8" w16cid:durableId="656884612">
    <w:abstractNumId w:val="2"/>
  </w:num>
  <w:num w:numId="9" w16cid:durableId="1275555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B3A"/>
    <w:rsid w:val="000261B7"/>
    <w:rsid w:val="000311C3"/>
    <w:rsid w:val="0024529B"/>
    <w:rsid w:val="0036415A"/>
    <w:rsid w:val="0043460F"/>
    <w:rsid w:val="006E4B3A"/>
    <w:rsid w:val="0079500E"/>
    <w:rsid w:val="00811276"/>
    <w:rsid w:val="00856480"/>
    <w:rsid w:val="008C2802"/>
    <w:rsid w:val="00A03CB5"/>
    <w:rsid w:val="00AE5F73"/>
    <w:rsid w:val="00DC0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D1891A"/>
  <w15:docId w15:val="{3CDCDE74-6969-2B40-A705-3BA29929B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24529B"/>
    <w:rPr>
      <w:color w:val="0000FF" w:themeColor="hyperlink"/>
      <w:u w:val="single"/>
    </w:rPr>
  </w:style>
  <w:style w:type="character" w:styleId="UnresolvedMention">
    <w:name w:val="Unresolved Mention"/>
    <w:basedOn w:val="DefaultParagraphFont"/>
    <w:uiPriority w:val="99"/>
    <w:semiHidden/>
    <w:unhideWhenUsed/>
    <w:rsid w:val="00245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ori.org/sticemeasures" TargetMode="External"/><Relationship Id="rId13" Type="http://schemas.openxmlformats.org/officeDocument/2006/relationships/hyperlink" Target="https://doi.org/10.1371/journal.pone.0115017" TargetMode="External"/><Relationship Id="rId18" Type="http://schemas.openxmlformats.org/officeDocument/2006/relationships/hyperlink" Target="https://doi.org/10.3390/nu610455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16/j.jneb.2022.01.010" TargetMode="External"/><Relationship Id="rId7" Type="http://schemas.openxmlformats.org/officeDocument/2006/relationships/hyperlink" Target="mailto:zkhalil2342@gmail.com" TargetMode="External"/><Relationship Id="rId12" Type="http://schemas.openxmlformats.org/officeDocument/2006/relationships/hyperlink" Target="https://doi.org/10.3945/ajcn.2008.26795" TargetMode="External"/><Relationship Id="rId17" Type="http://schemas.openxmlformats.org/officeDocument/2006/relationships/hyperlink" Target="https://doi.org/10.1371/journal.pone.0074832"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07/s10464-009-9269-1" TargetMode="External"/><Relationship Id="rId20" Type="http://schemas.openxmlformats.org/officeDocument/2006/relationships/hyperlink" Target="https://doi.org/10.1037/1040-3590.12.2.1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371/journal.pone.0195541"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02/eat.20957" TargetMode="External"/><Relationship Id="rId23" Type="http://schemas.openxmlformats.org/officeDocument/2006/relationships/footer" Target="footer1.xml"/><Relationship Id="rId10" Type="http://schemas.openxmlformats.org/officeDocument/2006/relationships/hyperlink" Target="https://doi.org/10.1038/oby.2008.34" TargetMode="External"/><Relationship Id="rId19" Type="http://schemas.openxmlformats.org/officeDocument/2006/relationships/hyperlink" Target="https://doi.org/10.1016/S2215-0366(16)00081-X" TargetMode="External"/><Relationship Id="rId4" Type="http://schemas.openxmlformats.org/officeDocument/2006/relationships/webSettings" Target="webSettings.xml"/><Relationship Id="rId9" Type="http://schemas.openxmlformats.org/officeDocument/2006/relationships/hyperlink" Target="https://doi.org/10.1017/S0007114514001040" TargetMode="External"/><Relationship Id="rId14" Type="http://schemas.openxmlformats.org/officeDocument/2006/relationships/hyperlink" Target="https://doi.org/10.1097/ADM.0b013e318193c993"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7245</Words>
  <Characters>41298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Zoya Khalil</cp:lastModifiedBy>
  <cp:revision>5</cp:revision>
  <dcterms:created xsi:type="dcterms:W3CDTF">2025-01-20T17:17:00Z</dcterms:created>
  <dcterms:modified xsi:type="dcterms:W3CDTF">2025-06-13T18:21:00Z</dcterms:modified>
</cp:coreProperties>
</file>